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F39A6" w:rsidTr="00C02C4F">
        <w:tc>
          <w:tcPr>
            <w:tcW w:w="4785" w:type="dxa"/>
            <w:shd w:val="clear" w:color="auto" w:fill="auto"/>
          </w:tcPr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  <w:p w:rsidR="005F39A6" w:rsidRPr="00F657BC" w:rsidRDefault="005F39A6" w:rsidP="00C72FEC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Управление образования Администрации</w:t>
            </w:r>
          </w:p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Белоярского городского округа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ул. Ленина, 259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624030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п.г.т</w:t>
            </w:r>
            <w:proofErr w:type="spellEnd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. </w:t>
            </w:r>
            <w:proofErr w:type="gramStart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Белоярский</w:t>
            </w:r>
            <w:proofErr w:type="gramEnd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 Свердловской области 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телефон/факс  (34377) 2-14-85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ОКПО 02116310 ОГРН 1026601983825</w:t>
            </w:r>
          </w:p>
          <w:p w:rsidR="005F39A6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ИНН/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6639002370/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83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01001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</w:p>
          <w:p w:rsidR="005F39A6" w:rsidRPr="0042760D" w:rsidRDefault="005F39A6" w:rsidP="00FD774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2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EE3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79F">
              <w:rPr>
                <w:rFonts w:ascii="Times New Roman" w:eastAsia="Times New Roman" w:hAnsi="Times New Roman" w:cs="Times New Roman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2C6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786" w:type="dxa"/>
            <w:shd w:val="clear" w:color="auto" w:fill="auto"/>
          </w:tcPr>
          <w:p w:rsidR="004F1C5C" w:rsidRPr="004F1C5C" w:rsidRDefault="00600EC9" w:rsidP="004F1C5C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F1C5C" w:rsidRPr="004F1C5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Руководителям муниципальных образовательных организаций и организаций дополнительного образования, подведомственных Управлению образования Администрации Белоярского городского округа</w:t>
            </w:r>
          </w:p>
          <w:p w:rsidR="005F39A6" w:rsidRPr="0047117D" w:rsidRDefault="005F39A6" w:rsidP="004F1C5C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2FEC" w:rsidRDefault="00C72FEC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86B" w:rsidRDefault="00F0386B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направлении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386B" w:rsidRDefault="00F0386B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листка      о      состоянии       детского </w:t>
      </w:r>
    </w:p>
    <w:p w:rsidR="00F0386B" w:rsidRDefault="00F0386B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дорожно-транспортного травматизма</w:t>
      </w:r>
    </w:p>
    <w:p w:rsidR="00F0386B" w:rsidRDefault="002618FA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385C1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месяца  2021</w:t>
      </w:r>
      <w:r w:rsidR="00F03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</w:p>
    <w:p w:rsidR="00F27C2A" w:rsidRDefault="00F27C2A" w:rsidP="00555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86B" w:rsidRDefault="00F0386B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9A6" w:rsidRDefault="005F39A6" w:rsidP="00EE343A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A33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 руководители!</w:t>
      </w:r>
    </w:p>
    <w:p w:rsidR="002701C8" w:rsidRPr="00690A33" w:rsidRDefault="002701C8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7C2A" w:rsidRPr="002618FA" w:rsidRDefault="00F27C2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proofErr w:type="gramStart"/>
      <w:r w:rsidRPr="00DA7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BD1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</w:t>
      </w:r>
      <w:r w:rsidR="00BD1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письмом </w:t>
      </w:r>
      <w:r w:rsid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ОГИБДД  МО МВД России «Заречный» </w:t>
      </w:r>
      <w:r w:rsidR="00D70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05.04</w:t>
      </w:r>
      <w:r w:rsidR="00D70B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E343A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F03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3928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0E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00EC9">
        <w:rPr>
          <w:rFonts w:ascii="Times New Roman" w:hAnsi="Times New Roman"/>
          <w:sz w:val="28"/>
          <w:szCs w:val="28"/>
        </w:rPr>
        <w:t>аправл</w:t>
      </w:r>
      <w:r w:rsidR="00F0386B">
        <w:rPr>
          <w:rFonts w:ascii="Times New Roman" w:hAnsi="Times New Roman"/>
          <w:sz w:val="28"/>
          <w:szCs w:val="28"/>
        </w:rPr>
        <w:t>я</w:t>
      </w:r>
      <w:r w:rsidRPr="00600EC9">
        <w:rPr>
          <w:rFonts w:ascii="Times New Roman" w:hAnsi="Times New Roman"/>
          <w:sz w:val="28"/>
          <w:szCs w:val="28"/>
        </w:rPr>
        <w:t xml:space="preserve">ю в </w:t>
      </w:r>
      <w:r w:rsidR="00C72FEC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Ваш </w:t>
      </w:r>
      <w:r w:rsidR="00F0386B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адрес </w:t>
      </w:r>
      <w:r w:rsidR="00D70B8D">
        <w:rPr>
          <w:rFonts w:ascii="Times New Roman" w:hAnsi="Times New Roman"/>
          <w:sz w:val="28"/>
          <w:szCs w:val="28"/>
        </w:rPr>
        <w:t xml:space="preserve"> </w:t>
      </w:r>
      <w:r w:rsidR="00F0386B">
        <w:rPr>
          <w:rFonts w:ascii="Times New Roman" w:hAnsi="Times New Roman"/>
          <w:sz w:val="28"/>
          <w:szCs w:val="28"/>
        </w:rPr>
        <w:t>и</w:t>
      </w:r>
      <w:r w:rsidRPr="00600EC9">
        <w:rPr>
          <w:rFonts w:ascii="Times New Roman" w:hAnsi="Times New Roman"/>
          <w:sz w:val="28"/>
          <w:szCs w:val="28"/>
        </w:rPr>
        <w:t xml:space="preserve">нформационный </w:t>
      </w:r>
      <w:r w:rsidR="00F0386B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листок о состоянии детского дорожно-транспортного травматизма </w:t>
      </w:r>
      <w:r w:rsidR="00D70B8D" w:rsidRPr="00D7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оперативного обслуживания ОГИБДД МО МВД России «Заречный» за </w:t>
      </w:r>
      <w:r w:rsidR="00261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5C1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7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1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месяца  2021 года, </w:t>
      </w:r>
      <w:r w:rsidR="002618FA" w:rsidRPr="00261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анализ о состоянии детского дорожно – транспортного травматизма </w:t>
      </w:r>
      <w:r w:rsidR="00261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18FA" w:rsidRPr="00261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Свердловской области за 2 </w:t>
      </w:r>
      <w:r w:rsidR="00261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18FA" w:rsidRPr="002618FA">
        <w:rPr>
          <w:rFonts w:ascii="Times New Roman" w:eastAsia="Calibri" w:hAnsi="Times New Roman" w:cs="Times New Roman"/>
          <w:sz w:val="28"/>
          <w:szCs w:val="28"/>
          <w:lang w:eastAsia="en-US"/>
        </w:rPr>
        <w:t>месяца 2021 года.</w:t>
      </w:r>
      <w:proofErr w:type="gramEnd"/>
    </w:p>
    <w:p w:rsidR="00F27C2A" w:rsidRPr="00600EC9" w:rsidRDefault="00F27C2A" w:rsidP="00C72FE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00EC9">
        <w:rPr>
          <w:rFonts w:ascii="Times New Roman" w:hAnsi="Times New Roman"/>
          <w:sz w:val="28"/>
          <w:szCs w:val="28"/>
        </w:rPr>
        <w:tab/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 </w:t>
      </w:r>
      <w:r w:rsidR="00D70B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0EC9"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 подготовленный </w:t>
      </w:r>
      <w:r w:rsidR="00C72FEC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материал в Уголках безопасности дорожного движения в 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600EC9">
        <w:rPr>
          <w:rFonts w:ascii="Times New Roman" w:hAnsi="Times New Roman"/>
          <w:sz w:val="28"/>
          <w:szCs w:val="28"/>
        </w:rPr>
        <w:t xml:space="preserve">, на сайтах образовательных </w:t>
      </w:r>
      <w:r>
        <w:rPr>
          <w:rFonts w:ascii="Times New Roman" w:hAnsi="Times New Roman"/>
          <w:sz w:val="28"/>
          <w:szCs w:val="28"/>
        </w:rPr>
        <w:t>организаций,</w:t>
      </w:r>
      <w:r w:rsidRPr="00600EC9">
        <w:rPr>
          <w:rFonts w:ascii="Times New Roman" w:hAnsi="Times New Roman"/>
          <w:sz w:val="28"/>
          <w:szCs w:val="28"/>
        </w:rPr>
        <w:t xml:space="preserve"> довести до педагогического состава и родителей.   </w:t>
      </w:r>
    </w:p>
    <w:p w:rsidR="002618FA" w:rsidRPr="002618FA" w:rsidRDefault="002618FA" w:rsidP="002618F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18F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:rsidR="00EE343A" w:rsidRDefault="00EE343A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62166" w:rsidRPr="00F27C2A" w:rsidRDefault="0071126E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Приложение: на </w:t>
      </w:r>
      <w:r w:rsidR="002618F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7C2A" w:rsidRPr="00F27C2A">
        <w:rPr>
          <w:rFonts w:ascii="Times New Roman" w:eastAsia="Calibri" w:hAnsi="Times New Roman" w:cs="Times New Roman"/>
          <w:sz w:val="28"/>
          <w:szCs w:val="28"/>
          <w:lang w:eastAsia="en-US"/>
        </w:rPr>
        <w:t>л. в 1 экз.</w:t>
      </w:r>
    </w:p>
    <w:p w:rsidR="00262166" w:rsidRPr="00F27C2A" w:rsidRDefault="00262166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7C2A" w:rsidRDefault="00F27C2A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B8D" w:rsidRDefault="002618FA" w:rsidP="002618FA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5306E2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06E2">
        <w:rPr>
          <w:rFonts w:ascii="Times New Roman" w:eastAsia="Times New Roman" w:hAnsi="Times New Roman" w:cs="Times New Roman"/>
          <w:sz w:val="28"/>
          <w:szCs w:val="28"/>
        </w:rPr>
        <w:t xml:space="preserve">  У</w:t>
      </w:r>
      <w:r w:rsidR="002701C8" w:rsidRPr="002701C8">
        <w:rPr>
          <w:rFonts w:ascii="Times New Roman" w:eastAsia="Times New Roman" w:hAnsi="Times New Roman" w:cs="Times New Roman"/>
          <w:sz w:val="28"/>
          <w:szCs w:val="28"/>
        </w:rPr>
        <w:t xml:space="preserve">правления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Э.И. Листопад</w:t>
      </w: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EE343A" w:rsidRDefault="00EE343A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EE343A" w:rsidRDefault="00EE343A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618FA" w:rsidRDefault="002618FA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618FA" w:rsidRDefault="002618FA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618FA" w:rsidRDefault="002618FA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618FA" w:rsidRDefault="002618FA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618FA" w:rsidRDefault="002618FA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618FA" w:rsidRDefault="002618FA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618FA" w:rsidRDefault="002618FA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618FA" w:rsidRPr="002701C8" w:rsidRDefault="002618FA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701C8" w:rsidRP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Марина Владимировна </w:t>
      </w:r>
      <w:proofErr w:type="spellStart"/>
      <w:r w:rsidRPr="002701C8">
        <w:rPr>
          <w:rFonts w:ascii="Times New Roman" w:eastAsiaTheme="minorHAnsi" w:hAnsi="Times New Roman" w:cs="Times New Roman"/>
          <w:i/>
          <w:lang w:eastAsia="en-US"/>
        </w:rPr>
        <w:t>Корепанова</w:t>
      </w:r>
      <w:proofErr w:type="spellEnd"/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 </w:t>
      </w:r>
    </w:p>
    <w:p w:rsid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8(343 77) </w:t>
      </w:r>
      <w:r>
        <w:rPr>
          <w:rFonts w:ascii="Times New Roman" w:eastAsiaTheme="minorHAnsi" w:hAnsi="Times New Roman" w:cs="Times New Roman"/>
          <w:i/>
          <w:lang w:eastAsia="en-US"/>
        </w:rPr>
        <w:t>2-14-8</w:t>
      </w:r>
      <w:r w:rsidR="00F27C2A">
        <w:rPr>
          <w:rFonts w:ascii="Times New Roman" w:eastAsiaTheme="minorHAnsi" w:hAnsi="Times New Roman" w:cs="Times New Roman"/>
          <w:i/>
          <w:lang w:eastAsia="en-US"/>
        </w:rPr>
        <w:t>6</w:t>
      </w:r>
    </w:p>
    <w:p w:rsidR="00EE343A" w:rsidRDefault="00EE343A" w:rsidP="00EE34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E343A" w:rsidRDefault="00EE343A" w:rsidP="00EE34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7C2A" w:rsidRPr="00944EAD" w:rsidRDefault="00F27C2A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:rsidR="00F27C2A" w:rsidRPr="00944EAD" w:rsidRDefault="00F27C2A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>к письму от «___</w:t>
      </w:r>
      <w:r w:rsidR="00F0386B">
        <w:rPr>
          <w:rFonts w:ascii="Times New Roman" w:eastAsia="Times New Roman" w:hAnsi="Times New Roman" w:cs="Times New Roman"/>
          <w:i/>
          <w:sz w:val="24"/>
          <w:szCs w:val="24"/>
        </w:rPr>
        <w:t>»___________202</w:t>
      </w:r>
      <w:r w:rsidR="00EE343A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г.</w:t>
      </w: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 xml:space="preserve"> № ____</w:t>
      </w:r>
    </w:p>
    <w:p w:rsidR="00F27C2A" w:rsidRDefault="00F27C2A" w:rsidP="00F27C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en-US"/>
        </w:rPr>
      </w:pPr>
    </w:p>
    <w:p w:rsidR="00F27C2A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2A" w:rsidRPr="00600EC9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Информационный листок </w:t>
      </w:r>
    </w:p>
    <w:p w:rsidR="002618FA" w:rsidRDefault="00F27C2A" w:rsidP="00D70B8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о состоянии детского дорожно-транспортного травматизма на территории оперативного обслуживания </w:t>
      </w:r>
    </w:p>
    <w:p w:rsidR="00F0386B" w:rsidRDefault="00F27C2A" w:rsidP="00D70B8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>ОГИБД</w:t>
      </w:r>
      <w:r w:rsidR="00F0386B">
        <w:rPr>
          <w:rFonts w:ascii="Times New Roman" w:hAnsi="Times New Roman"/>
          <w:b/>
          <w:sz w:val="28"/>
          <w:szCs w:val="28"/>
        </w:rPr>
        <w:t xml:space="preserve">Д МО МВД России «Заречный» </w:t>
      </w:r>
    </w:p>
    <w:p w:rsidR="00D70B8D" w:rsidRPr="00D70B8D" w:rsidRDefault="002618FA" w:rsidP="00D70B8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за  </w:t>
      </w:r>
      <w:r w:rsidR="00385C1C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месяца 2021</w:t>
      </w:r>
      <w:r w:rsidR="00F27C2A" w:rsidRPr="00600EC9">
        <w:rPr>
          <w:rFonts w:ascii="Times New Roman" w:hAnsi="Times New Roman"/>
          <w:b/>
          <w:sz w:val="28"/>
          <w:szCs w:val="28"/>
        </w:rPr>
        <w:t xml:space="preserve"> год</w:t>
      </w:r>
      <w:r w:rsidR="00F0386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:rsidR="00EE343A" w:rsidRDefault="00EE343A" w:rsidP="00EE34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18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3 месяца 2021 года на территории обслуживаемой ОГИБДД МО МВД России «Заречный» дорожно-транспортных происшествий с участием несовершеннолетних в возрасте до 16 лет зарегистрировано 3 ДТП (0; +200%). </w:t>
      </w: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2618F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 территории Белоярского городского округа за 3 месяца 2021 года с участием детей до 16 лет зарегистрировано 1 ДТП (1), в котором пострадал 1 ребенок.</w:t>
      </w: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18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территории городского округа Заречный за 3 месяца 2021 года с участием детей до 16 лет зарегистрировано 2 ДТП (0; + 200%), в которых 2 ребенка погибли и 1 ребенок получил травмы. </w:t>
      </w: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18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территории городского округа Верхнее Дуброво за 3 месяца 2021 года ДТП не  зарегистрировано (0). </w:t>
      </w:r>
    </w:p>
    <w:p w:rsidR="002618FA" w:rsidRPr="002618FA" w:rsidRDefault="002618FA" w:rsidP="002618F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2618FA" w:rsidRPr="002618FA" w:rsidRDefault="002618FA" w:rsidP="002618FA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b/>
          <w:sz w:val="28"/>
          <w:szCs w:val="28"/>
        </w:rPr>
        <w:t>состояния детского дорожно-транспортного травматизма</w:t>
      </w:r>
    </w:p>
    <w:p w:rsidR="002618FA" w:rsidRPr="002618FA" w:rsidRDefault="002618FA" w:rsidP="002618FA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Свердловской области 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2618FA">
        <w:rPr>
          <w:rFonts w:ascii="Times New Roman" w:eastAsia="Times New Roman" w:hAnsi="Times New Roman" w:cs="Times New Roman"/>
          <w:b/>
          <w:sz w:val="28"/>
          <w:szCs w:val="28"/>
        </w:rPr>
        <w:t>месяца 2021 года</w:t>
      </w:r>
    </w:p>
    <w:p w:rsidR="002618FA" w:rsidRPr="002618FA" w:rsidRDefault="002618FA" w:rsidP="002618FA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18FA" w:rsidRPr="002618FA" w:rsidRDefault="002618FA" w:rsidP="002618FA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2667" distL="114300" distR="114300" simplePos="0" relativeHeight="251660288" behindDoc="1" locked="0" layoutInCell="1" allowOverlap="1">
            <wp:simplePos x="0" y="0"/>
            <wp:positionH relativeFrom="margin">
              <wp:posOffset>-654050</wp:posOffset>
            </wp:positionH>
            <wp:positionV relativeFrom="paragraph">
              <wp:posOffset>216535</wp:posOffset>
            </wp:positionV>
            <wp:extent cx="3176270" cy="2889250"/>
            <wp:effectExtent l="0" t="0" r="1905" b="0"/>
            <wp:wrapTight wrapText="bothSides">
              <wp:wrapPolygon edited="0">
                <wp:start x="0" y="0"/>
                <wp:lineTo x="0" y="21529"/>
                <wp:lineTo x="21488" y="21529"/>
                <wp:lineTo x="21488" y="0"/>
                <wp:lineTo x="0" y="0"/>
              </wp:wrapPolygon>
            </wp:wrapTight>
            <wp:docPr id="21" name="Диаграмм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8FA" w:rsidRPr="002618FA" w:rsidRDefault="002618FA" w:rsidP="002618FA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Свердловской области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два месяца 2021 г. зарегистрировано 45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(44; +2,3%) ДТП с участием несовершеннолетних, в которых 51 (54;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-5,6%) детей получили травмы различной степени тяжести и 3(0; +100%) погибли.</w:t>
      </w:r>
    </w:p>
    <w:p w:rsidR="002618FA" w:rsidRPr="002618FA" w:rsidRDefault="002618FA" w:rsidP="002618FA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Дорожно-транспортные происшествия, в результате которых пострадали дети, составили 8% от общего количества учетных дорожных аварий. Таким образом, дети стали участниками каждого 11 ДТП 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br/>
        <w:t>с пострадавшими в регионе.</w:t>
      </w:r>
    </w:p>
    <w:p w:rsidR="002618FA" w:rsidRPr="002618FA" w:rsidRDefault="002618FA" w:rsidP="002618FA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ДТП с погибшими детьми зарегистрированы в </w:t>
      </w:r>
      <w:proofErr w:type="gramStart"/>
      <w:r w:rsidRPr="002618FA">
        <w:rPr>
          <w:rFonts w:ascii="Times New Roman" w:eastAsia="Times New Roman" w:hAnsi="Times New Roman" w:cs="Times New Roman"/>
          <w:sz w:val="28"/>
          <w:szCs w:val="28"/>
        </w:rPr>
        <w:t>Каменске-Уральском</w:t>
      </w:r>
      <w:proofErr w:type="gramEnd"/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 (+100%) и </w:t>
      </w:r>
      <w:proofErr w:type="spellStart"/>
      <w:r w:rsidRPr="002618FA">
        <w:rPr>
          <w:rFonts w:ascii="Times New Roman" w:eastAsia="Times New Roman" w:hAnsi="Times New Roman" w:cs="Times New Roman"/>
          <w:sz w:val="28"/>
          <w:szCs w:val="28"/>
        </w:rPr>
        <w:t>Ивделе</w:t>
      </w:r>
      <w:proofErr w:type="spellEnd"/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 (+100%):</w:t>
      </w:r>
    </w:p>
    <w:p w:rsidR="002618FA" w:rsidRPr="002618FA" w:rsidRDefault="002618FA" w:rsidP="002618FA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02.01.2021 года около 15 часов в </w:t>
      </w:r>
      <w:r w:rsidRPr="002618F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Каменском </w:t>
      </w:r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городском округе, с. </w:t>
      </w:r>
      <w:proofErr w:type="spellStart"/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>Рыбниковское</w:t>
      </w:r>
      <w:proofErr w:type="spellEnd"/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</w:t>
      </w:r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lastRenderedPageBreak/>
        <w:t xml:space="preserve">направо по ходу движения </w:t>
      </w:r>
      <w:r w:rsidRPr="002618F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автомобиля. </w:t>
      </w:r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От полученных травм мальчик скончался на месте происшествия. </w:t>
      </w:r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>Погибший находился в сопровождении 14-летней сестры</w:t>
      </w:r>
      <w:r w:rsidRPr="002618F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и еще троих</w:t>
      </w:r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</w:t>
      </w:r>
      <w:proofErr w:type="spellStart"/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>Световозвращающие</w:t>
      </w:r>
      <w:proofErr w:type="spellEnd"/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элементы на одежде детей отсутствовали.</w:t>
      </w:r>
    </w:p>
    <w:p w:rsidR="002618FA" w:rsidRPr="002618FA" w:rsidRDefault="002618FA" w:rsidP="002618FA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07.02.2021 года около 10.00 часов в </w:t>
      </w:r>
      <w:proofErr w:type="spellStart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Ивдельском</w:t>
      </w:r>
      <w:proofErr w:type="spellEnd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районе на 116 км автодороги </w:t>
      </w:r>
      <w:proofErr w:type="spellStart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Ивдель</w:t>
      </w:r>
      <w:proofErr w:type="spellEnd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-ХМАО водитель автомобиля «Тойота </w:t>
      </w:r>
      <w:proofErr w:type="spellStart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ЛендКрузер</w:t>
      </w:r>
      <w:proofErr w:type="spellEnd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», при совершении обгона не убедился в безопасности маневра, не учел метеорологические условия (метель), допустил столкновение с автомобилем «</w:t>
      </w:r>
      <w:proofErr w:type="spellStart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Киа</w:t>
      </w:r>
      <w:proofErr w:type="spellEnd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Сид», который двигался во встречном направлении. </w:t>
      </w:r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>В результате ДТП погибла 8 –летняя девочка, пассажир автомобиля «</w:t>
      </w:r>
      <w:proofErr w:type="spellStart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>Киа</w:t>
      </w:r>
      <w:proofErr w:type="spellEnd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 xml:space="preserve"> Сид», которая находилась на заднем пассажирском сидении. Ее 10 летняя сестра, которая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</w:t>
      </w:r>
      <w:proofErr w:type="spellStart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>Югорска</w:t>
      </w:r>
      <w:proofErr w:type="spellEnd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 xml:space="preserve"> в Екатеринбург на отдых. Водитель «</w:t>
      </w:r>
      <w:proofErr w:type="spellStart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>Киа</w:t>
      </w:r>
      <w:proofErr w:type="spellEnd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 xml:space="preserve"> Сид», отец девочек, скончался на 12 сутки после ДТП, не приходя в сознание.</w:t>
      </w:r>
    </w:p>
    <w:p w:rsidR="002618FA" w:rsidRPr="002618FA" w:rsidRDefault="002618FA" w:rsidP="002618FA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В 14 муниципальных образованиях Свердловской области отмечается рост аварийности с участием несовершеннолетних. На 150%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увеличилось количество ДТП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Каменске-Уральском(5 ДТП); на 100% в Заречном, Туринске (по 2 ДТП),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Артях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Березовском, 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Ивделе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Краснотурьинске, Невьянске, 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gram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ышма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, Ревде, Серове, Сысерти, Качканаре (по 1 ДТП); на 25% в Екатеринбурге (20 ДТП).</w:t>
      </w:r>
    </w:p>
    <w:p w:rsidR="002618FA" w:rsidRPr="002618FA" w:rsidRDefault="002618FA" w:rsidP="002618FA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134100" cy="3495675"/>
            <wp:effectExtent l="0" t="0" r="0" b="0"/>
            <wp:docPr id="1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40% (21) пострадавших в ДТП детей приходится на среднее школьное звено, 31% (17) на начальную школу и 29% (16) на дошкольный возраст, при этом большая часть из них пострадала в качестве пассажиров транспортных средств.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 случаев ДТП с пострадавшими детьми-пассажирами произошли по причине нарушения ПДД РФ водителем, в чьем автомобиле находились дети.</w:t>
      </w:r>
      <w:proofErr w:type="gramEnd"/>
    </w:p>
    <w:p w:rsidR="002618FA" w:rsidRPr="002618FA" w:rsidRDefault="002618FA" w:rsidP="002618F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48000" cy="2257425"/>
            <wp:effectExtent l="0" t="0" r="0" b="0"/>
            <wp:docPr id="17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038475" cy="2257425"/>
            <wp:effectExtent l="0" t="0" r="0" b="0"/>
            <wp:docPr id="16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>На 3% (36) произошло снижение количества числа ДТП по причине нарушения ПДД РФ водителями автотранспортных средств, на 8,5% (43) раненых в них детей. При этом с погибшими детьми выросло на 100 % (2).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86500" cy="1666875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55% ДТП (27)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38875" cy="1838325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70% (35) происшествий с участием несовершеннолетних произошли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18 ч. 00 мин. (15 ДТП, 15 ранены,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 погиб),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сопровождения взрослых. Дорожные аварии с погибшими детьми зарегистрированы в выходные дни.</w:t>
      </w:r>
    </w:p>
    <w:p w:rsidR="002618FA" w:rsidRPr="002618FA" w:rsidRDefault="002618FA" w:rsidP="002618F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428875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2618FA" w:rsidRPr="002618FA" w:rsidRDefault="002618FA" w:rsidP="002618F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0" name="Рисунок 20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8F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 участием </w:t>
      </w:r>
      <w:r w:rsidRPr="002618FA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детей - пассажиров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зарегистрировано 24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(28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; -17,2%) ДТП, в которых пострадал31 (37; -18,4%) ребенок и 2 (0; +100%) погибли. </w:t>
      </w:r>
      <w:proofErr w:type="gramStart"/>
      <w:r w:rsidRPr="002618FA">
        <w:rPr>
          <w:rFonts w:ascii="Times New Roman" w:eastAsia="Times New Roman" w:hAnsi="Times New Roman" w:cs="Times New Roman"/>
          <w:sz w:val="28"/>
          <w:szCs w:val="28"/>
        </w:rPr>
        <w:t>Из них в возрасте до 12 лет травмированы 18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(28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; -25%). </w:t>
      </w:r>
      <w:proofErr w:type="gramEnd"/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>Доля ДТП с участием детей - пассажиров от общего показателя аварийности с участием детей составила 47%.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133850" cy="2000250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При анализе ДТП, в которых пострадали дети-пассажиры, установлено2нарушения водителями правил перевозки детей, в которых травмированы 4 ребенка </w:t>
      </w:r>
      <w:r w:rsidRPr="002618F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(3; 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+33,3%):Екатеринбург и Ревда по – 1.Двух детей перевозили на заднем пассажирском сидении в детских удерживающих устройствах, не соответствующих росту и весу юных пассажиров, еще двоих детей перевозили без детских удерживающих устройств и не пристегнутыми ремнями безопасности.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05475" cy="2238375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месту расположения в транспортном средстве большая часть пострадавших приходится на заднее пассажирское сидение справа и слева (по 14).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Подавляющее большинство происшествий, в которых пострадали дети-пассажир</w:t>
      </w:r>
      <w:proofErr w:type="gram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столкновения транспортных средств (28; -28%), количество травмированных в них детей снизилось на 30% (26), при этом количество погибших увеличилось на 100% (2). 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Устойчивый рост количества ДТП с участием детей-пассажиров зарегистрирован с 12.00 до 21.00 (17 ДТП и 24 ранены), с максимальными значениями аварийности в период с 12.00 до 15.00 (9 ДТП, 13 ранены). Большинство аварий произошло в воскресенье (7 ДТП, 10 ранены, 2 погибли) и в понедельник (4 ДТП, 4 ранены).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781675" cy="188595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35 ДТП (+17%), в которых пострадали 38 (+12%) детей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1 погиб (+100%). Увеличение количества ДТП в населенных пунктах произошло в Екатеринбурге – 20 (+25%); </w:t>
      </w:r>
      <w:proofErr w:type="gram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Каменске-Уральском</w:t>
      </w:r>
      <w:proofErr w:type="gram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5(+100%); Туринске – 2 (+100%); 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Артях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Березовском, Заречном, Серове и Пригородном районе 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Н.Тагила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 (+100%). На автомобильных дорогах вне населенных пунктов зарегистрировано 10 ДТП (-28,6%), травмированы 13 (-35%) детей и 2 погибли (+100%). Из них, на дорогах федерального значения зарегистрировано 5 ДТП (+150%), в которых пострадали 9 детей (+200%). На автомобильных дорогах регионального значения произошло</w:t>
      </w:r>
      <w:proofErr w:type="gram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proofErr w:type="gram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ДТП (-31%), в которых 7 (-61%) детей получили травмы различной степени тяжести и 3 погибли (+100%). На дорогах местного значения зарегистрировано 25 ДТП (- 7,4%), в которых травмированы 29 (-6,5%) детей.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95975" cy="249555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19" name="Рисунок 19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 w:rsidRPr="002618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детей-пешеходов 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зарегистрировано 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br/>
        <w:t>21ДТП (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13;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+40%), в которых пострадали 20 (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14;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+25%) детей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br/>
        <w:t>и 1 погиб (+100%). От общего показателя аварийности с участием несовершеннолетних доля ДТП с участием дете</w:t>
      </w:r>
      <w:proofErr w:type="gramStart"/>
      <w:r w:rsidRPr="002618FA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 пешеходов составила 53%.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>На 14% (8) увеличилось количество ДТП по собственной неосторожности несовершеннолетних пешеходов, в которых пострадали 7несовершеннолетних (уровень АППГ) и 1 ребенок погиб.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Каждый третий наезд на ребенка (7 ДТП) совершен на нерегулируемом пешеходном переходе. В таких происшествиях </w:t>
      </w:r>
      <w:proofErr w:type="gramStart"/>
      <w:r w:rsidRPr="002618FA">
        <w:rPr>
          <w:rFonts w:ascii="Times New Roman" w:eastAsia="Times New Roman" w:hAnsi="Times New Roman" w:cs="Times New Roman"/>
          <w:sz w:val="28"/>
          <w:szCs w:val="28"/>
        </w:rPr>
        <w:t>травмированы</w:t>
      </w:r>
      <w:proofErr w:type="gramEnd"/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 7 юных 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br/>
        <w:t xml:space="preserve">пешеходов (-22%). </w:t>
      </w:r>
    </w:p>
    <w:p w:rsidR="002618FA" w:rsidRPr="002618FA" w:rsidRDefault="002618FA" w:rsidP="002618FA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257800" cy="170497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На 66% (5) увеличилось количество происшествий с детьм</w:t>
      </w:r>
      <w:proofErr w:type="gram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пешеходами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световозвращающих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элементов. 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каждого второго происшествия (52%; 11) стали дети-пешеходы в возрасте 9-11 лет. Все наезды произошли в городах и населенных пунктах. Наибольшие показатели количества ДТП с участием детей-пешеходов зафиксированы в субботу (5 ДТП), при этом 1 ребенок погиб. Наименьшее количество наездов зарегистрированы в воскресенье и среду (по 2 ДТП).  По времени совершения самым опасным является с 16 до 19 часов (13 ДТП; 61%) с максимальными значениями в период с 16 до 18 часов (10 ДТП). Растет количество наездов и в период с 07 до 09 часов (4 ДТП), когда дети идут в школу. Минимальное количество ДТП по времени совершения произошло в период с 9 до 14 часов (1 ДТП) и с 19.00 до 07.00 (1 ДТП).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12 случаях ДТП (57%) произошли по маршрутам следования детей из дома в образовательную организацию и обратно. Данные участки входят в паспорта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2618FA" w:rsidRPr="002618FA" w:rsidRDefault="002618FA" w:rsidP="002618F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819775" cy="14954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количества ДТП на 2,3% и снижение количества раненых детей на 5,6%. При этом количество погибших выросло на 100%. 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8 ДТП из 45 и составляет 15% от общего количества дорожных аварий с участием детей: Екатеринбург 3 (-40%),Каменск-Уральский 2 (1 погиб; +100%), Арти, Туринск, Заречный по 1 (+100%). Основными нарушениями ПДД РФ, допущенными юными пешеходами, стали переход проезжей части в неустановленном месте (5), неожиданный выход на проезжую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часть из-за стоящего транспортного средства (2) и нахождение на дороге без цели перехода (1).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229225" cy="16573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2618FA" w:rsidRPr="002618FA" w:rsidRDefault="002618FA" w:rsidP="002618FA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i/>
          <w:sz w:val="28"/>
          <w:szCs w:val="28"/>
        </w:rPr>
        <w:t>УГИБДД ГУ МВД России по Свердловской области</w:t>
      </w:r>
    </w:p>
    <w:p w:rsidR="002618FA" w:rsidRPr="002618FA" w:rsidRDefault="002618FA" w:rsidP="002618F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27C2A" w:rsidRPr="0071126E" w:rsidRDefault="00F27C2A" w:rsidP="00C72F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27C2A" w:rsidRPr="0071126E" w:rsidSect="00D70B8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98074E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1430EE"/>
    <w:rsid w:val="002618FA"/>
    <w:rsid w:val="00262166"/>
    <w:rsid w:val="002701C8"/>
    <w:rsid w:val="003470B1"/>
    <w:rsid w:val="00385C1C"/>
    <w:rsid w:val="004F1C5C"/>
    <w:rsid w:val="00523109"/>
    <w:rsid w:val="005306E2"/>
    <w:rsid w:val="005556FA"/>
    <w:rsid w:val="005F39A6"/>
    <w:rsid w:val="00600EC9"/>
    <w:rsid w:val="0071126E"/>
    <w:rsid w:val="00784A42"/>
    <w:rsid w:val="008D2F1D"/>
    <w:rsid w:val="00934953"/>
    <w:rsid w:val="00944EAD"/>
    <w:rsid w:val="00A245F8"/>
    <w:rsid w:val="00B11BCC"/>
    <w:rsid w:val="00B350A0"/>
    <w:rsid w:val="00BD1AEE"/>
    <w:rsid w:val="00C712C6"/>
    <w:rsid w:val="00C72FEC"/>
    <w:rsid w:val="00D70B8D"/>
    <w:rsid w:val="00DB1449"/>
    <w:rsid w:val="00DD1890"/>
    <w:rsid w:val="00EE343A"/>
    <w:rsid w:val="00F0386B"/>
    <w:rsid w:val="00F27C2A"/>
    <w:rsid w:val="00FD774D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1.jpeg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4F81BD"/>
            </a:solidFill>
            <a:ln w="25513">
              <a:noFill/>
            </a:ln>
          </c:spPr>
          <c:invertIfNegative val="0"/>
          <c:dLbls>
            <c:spPr>
              <a:noFill/>
              <a:ln w="2551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504D"/>
            </a:solidFill>
            <a:ln w="25513">
              <a:noFill/>
            </a:ln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437826541274848E-2"/>
                  <c:y val="-6.571011307365183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437826541274848E-2"/>
                  <c:y val="-1.64275282684129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51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</c:v>
                </c:pt>
                <c:pt idx="2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300096"/>
        <c:axId val="125301888"/>
        <c:axId val="0"/>
      </c:bar3DChart>
      <c:catAx>
        <c:axId val="12530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6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01888"/>
        <c:crosses val="autoZero"/>
        <c:auto val="1"/>
        <c:lblAlgn val="ctr"/>
        <c:lblOffset val="100"/>
        <c:noMultiLvlLbl val="0"/>
      </c:catAx>
      <c:valAx>
        <c:axId val="125301888"/>
        <c:scaling>
          <c:orientation val="minMax"/>
        </c:scaling>
        <c:delete val="0"/>
        <c:axPos val="l"/>
        <c:majorGridlines>
          <c:spPr>
            <a:ln w="956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6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00096"/>
        <c:crosses val="autoZero"/>
        <c:crossBetween val="between"/>
      </c:valAx>
      <c:spPr>
        <a:noFill/>
        <a:ln w="25513">
          <a:noFill/>
        </a:ln>
      </c:spPr>
    </c:plotArea>
    <c:legend>
      <c:legendPos val="b"/>
      <c:overlay val="0"/>
      <c:spPr>
        <a:noFill/>
        <a:ln w="255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4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6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4701250586"/>
          <c:y val="4.5430684800763536E-3"/>
        </c:manualLayout>
      </c:layout>
      <c:overlay val="0"/>
      <c:spPr>
        <a:noFill/>
        <a:ln w="25410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54"/>
                  <c:y val="-6.16955114113273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0351497798312412"/>
                  <c:y val="-0.1082910321489003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60263334851748E-2"/>
                  <c:y val="-9.1045472107865091E-3"/>
                </c:manualLayout>
              </c:layout>
              <c:spPr>
                <a:noFill/>
                <a:ln w="2541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41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Лист1!$A$2:$A$6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 w="25353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 w="25353">
              <a:noFill/>
            </a:ln>
          </c:spPr>
          <c:invertIfNegative val="0"/>
          <c:dLbls>
            <c:spPr>
              <a:noFill/>
              <a:ln w="2535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7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53">
              <a:noFill/>
            </a:ln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8983680"/>
        <c:axId val="139206656"/>
      </c:barChart>
      <c:catAx>
        <c:axId val="13898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0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06656"/>
        <c:crosses val="autoZero"/>
        <c:auto val="1"/>
        <c:lblAlgn val="ctr"/>
        <c:lblOffset val="100"/>
        <c:noMultiLvlLbl val="0"/>
      </c:catAx>
      <c:valAx>
        <c:axId val="139206656"/>
        <c:scaling>
          <c:orientation val="minMax"/>
        </c:scaling>
        <c:delete val="0"/>
        <c:axPos val="b"/>
        <c:majorGridlines>
          <c:spPr>
            <a:ln w="950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0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983680"/>
        <c:crosses val="autoZero"/>
        <c:crossBetween val="between"/>
      </c:valAx>
      <c:spPr>
        <a:noFill/>
        <a:ln w="25353">
          <a:noFill/>
        </a:ln>
      </c:spPr>
    </c:plotArea>
    <c:legend>
      <c:legendPos val="b"/>
      <c:overlay val="0"/>
      <c:spPr>
        <a:noFill/>
        <a:ln w="25353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 w="25413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9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9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1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30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3">
          <a:noFill/>
        </a:ln>
      </c:spPr>
    </c:plotArea>
    <c:legend>
      <c:legendPos val="b"/>
      <c:overlay val="0"/>
      <c:spPr>
        <a:noFill/>
        <a:ln w="254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3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136430358565E-2"/>
          <c:y val="5.9547693524610798E-3"/>
        </c:manualLayout>
      </c:layout>
      <c:overlay val="0"/>
      <c:spPr>
        <a:noFill/>
        <a:ln w="2538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38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1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9">
          <a:noFill/>
        </a:ln>
      </c:spPr>
    </c:plotArea>
    <c:plotVisOnly val="1"/>
    <c:dispBlanksAs val="zero"/>
    <c:showDLblsOverMax val="0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overlay val="0"/>
      <c:spPr>
        <a:noFill/>
        <a:ln w="25392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explosion val="17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8.109573973901725E-2"/>
                  <c:y val="7.570099980277038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Заречный </a:t>
                    </a:r>
                    <a:fld id="{198B1789-6417-47A0-B448-A83ADA0E8574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[</a:t>
                    </a:r>
                  </a:p>
                </c:rich>
              </c:tx>
              <c:spPr>
                <a:noFill/>
                <a:ln w="25392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1194539249146742E-2"/>
                  <c:y val="4.624277456647395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Туринск </a:t>
                    </a:r>
                    <a:fld id="{5440F57D-DB4B-47C6-844E-F575A3FC4058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[</a:t>
                    </a:r>
                  </a:p>
                </c:rich>
              </c:tx>
              <c:spPr>
                <a:noFill/>
                <a:ln w="25392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378352023403233E-2"/>
                  <c:y val="-4.34682080924855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/>
                      <a:t>[И</a:t>
                    </a:r>
                    <a:r>
                      <a:rPr lang="ru-RU" baseline="0"/>
                      <a:t>М</a:t>
                    </a:r>
                  </a:p>
                </c:rich>
              </c:tx>
              <c:spPr>
                <a:noFill/>
                <a:ln w="25392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4383227693807887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Лист1!$A$2:$A$6</c:f>
              <c:strCache>
                <c:ptCount val="5"/>
                <c:pt idx="0">
                  <c:v>Заречный</c:v>
                </c:pt>
                <c:pt idx="1">
                  <c:v>Туринск</c:v>
                </c:pt>
                <c:pt idx="2">
                  <c:v>Арти</c:v>
                </c:pt>
                <c:pt idx="3">
                  <c:v>Каменск-Уральский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92">
          <a:noFill/>
        </a:ln>
      </c:spPr>
    </c:plotArea>
    <c:plotVisOnly val="1"/>
    <c:dispBlanksAs val="zero"/>
    <c:showDLblsOverMax val="0"/>
  </c:chart>
  <c:spPr>
    <a:solidFill>
      <a:schemeClr val="bg1"/>
    </a:solidFill>
    <a:ln w="9522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3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3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5</c:v>
                </c:pt>
                <c:pt idx="1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4223360"/>
        <c:axId val="134224896"/>
      </c:barChart>
      <c:catAx>
        <c:axId val="134223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24896"/>
        <c:crosses val="autoZero"/>
        <c:auto val="1"/>
        <c:lblAlgn val="ctr"/>
        <c:lblOffset val="100"/>
        <c:noMultiLvlLbl val="0"/>
      </c:catAx>
      <c:valAx>
        <c:axId val="134224896"/>
        <c:scaling>
          <c:orientation val="minMax"/>
        </c:scaling>
        <c:delete val="0"/>
        <c:axPos val="b"/>
        <c:majorGridlines>
          <c:spPr>
            <a:ln w="952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ln w="952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23360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48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48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48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b"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1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 w="25419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64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64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1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3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9">
          <a:noFill/>
        </a:ln>
      </c:spPr>
    </c:plotArea>
    <c:legend>
      <c:legendPos val="b"/>
      <c:overlay val="0"/>
      <c:spPr>
        <a:noFill/>
        <a:ln w="2541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3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452736"/>
        <c:axId val="134454272"/>
      </c:barChart>
      <c:catAx>
        <c:axId val="13445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454272"/>
        <c:crosses val="autoZero"/>
        <c:auto val="1"/>
        <c:lblAlgn val="ctr"/>
        <c:lblOffset val="100"/>
        <c:noMultiLvlLbl val="0"/>
      </c:catAx>
      <c:valAx>
        <c:axId val="134454272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452736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 w="2540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11</c:v>
                </c:pt>
                <c:pt idx="4">
                  <c:v>15</c:v>
                </c:pt>
                <c:pt idx="5">
                  <c:v>9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15</c:v>
                </c:pt>
                <c:pt idx="4">
                  <c:v>15</c:v>
                </c:pt>
                <c:pt idx="5">
                  <c:v>11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694784"/>
        <c:axId val="134696320"/>
      </c:barChart>
      <c:catAx>
        <c:axId val="13469478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96320"/>
        <c:crosses val="autoZero"/>
        <c:auto val="1"/>
        <c:lblAlgn val="ctr"/>
        <c:lblOffset val="100"/>
        <c:tickLblSkip val="1"/>
        <c:noMultiLvlLbl val="0"/>
      </c:catAx>
      <c:valAx>
        <c:axId val="134696320"/>
        <c:scaling>
          <c:orientation val="minMax"/>
        </c:scaling>
        <c:delete val="0"/>
        <c:axPos val="l"/>
        <c:majorGridlines>
          <c:spPr>
            <a:ln w="9528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94784"/>
        <c:crosses val="autoZero"/>
        <c:crossBetween val="between"/>
      </c:valAx>
      <c:spPr>
        <a:noFill/>
        <a:ln w="25409">
          <a:noFill/>
        </a:ln>
      </c:spPr>
    </c:plotArea>
    <c:legend>
      <c:legendPos val="b"/>
      <c:overlay val="0"/>
      <c:spPr>
        <a:noFill/>
        <a:ln w="2540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 w="2540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4F81BD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8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  <c:pt idx="5">
                  <c:v>8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34535424"/>
        <c:axId val="138874880"/>
      </c:barChart>
      <c:catAx>
        <c:axId val="13453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874880"/>
        <c:crosses val="autoZero"/>
        <c:auto val="1"/>
        <c:lblAlgn val="ctr"/>
        <c:lblOffset val="100"/>
        <c:noMultiLvlLbl val="0"/>
      </c:catAx>
      <c:valAx>
        <c:axId val="138874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35424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2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2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40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75"/>
      </c:doughnutChart>
      <c:spPr>
        <a:noFill/>
        <a:ln w="25402">
          <a:noFill/>
        </a:ln>
      </c:spPr>
    </c:plotArea>
    <c:legend>
      <c:legendPos val="b"/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6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47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47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47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47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8486131444624792E-2"/>
                  <c:y val="-2.01323552504654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714447126270049E-2"/>
                  <c:y val="-3.58229580276824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6">
          <a:noFill/>
        </a:ln>
      </c:spPr>
    </c:plotArea>
    <c:legend>
      <c:legendPos val="b"/>
      <c:overlay val="0"/>
      <c:spPr>
        <a:noFill/>
        <a:ln w="25396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25</cp:revision>
  <cp:lastPrinted>2021-04-07T04:41:00Z</cp:lastPrinted>
  <dcterms:created xsi:type="dcterms:W3CDTF">2019-06-18T11:00:00Z</dcterms:created>
  <dcterms:modified xsi:type="dcterms:W3CDTF">2021-04-07T08:21:00Z</dcterms:modified>
</cp:coreProperties>
</file>