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F39A6" w:rsidTr="00C02C4F">
        <w:tc>
          <w:tcPr>
            <w:tcW w:w="4785" w:type="dxa"/>
            <w:shd w:val="clear" w:color="auto" w:fill="auto"/>
          </w:tcPr>
          <w:p w:rsidR="003663D9" w:rsidRPr="003663D9" w:rsidRDefault="003663D9" w:rsidP="00AE0E3F">
            <w:pPr>
              <w:spacing w:after="160" w:line="256" w:lineRule="auto"/>
              <w:ind w:right="45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99DFC2C" wp14:editId="5CDFEB8A">
                  <wp:extent cx="381000" cy="609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МУНИЦИПАЛЬНОЕ КАЗЕННОЕ УЧРЕЖДЕНИЕ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БЕЛОЯРСКОГО ГОРОДСКОГО ОКРУГА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«УПРАВЛЕНИЕ ОБРАЗОВАНИЯ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БЕЛОЯРСКОГО ГОРОДСКОГО ОКРУГА»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lang w:eastAsia="en-US"/>
              </w:rPr>
              <w:t xml:space="preserve">624030 Свердловская область, 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663D9">
              <w:rPr>
                <w:rFonts w:ascii="Times New Roman" w:eastAsia="Calibri" w:hAnsi="Times New Roman" w:cs="Times New Roman"/>
                <w:lang w:eastAsia="en-US"/>
              </w:rPr>
              <w:t>пгт</w:t>
            </w:r>
            <w:proofErr w:type="spellEnd"/>
            <w:r w:rsidRPr="003663D9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proofErr w:type="gramStart"/>
            <w:r w:rsidRPr="003663D9">
              <w:rPr>
                <w:rFonts w:ascii="Times New Roman" w:eastAsia="Calibri" w:hAnsi="Times New Roman" w:cs="Times New Roman"/>
                <w:lang w:eastAsia="en-US"/>
              </w:rPr>
              <w:t>Белоярский</w:t>
            </w:r>
            <w:proofErr w:type="gramEnd"/>
            <w:r w:rsidRPr="003663D9">
              <w:rPr>
                <w:rFonts w:ascii="Times New Roman" w:eastAsia="Calibri" w:hAnsi="Times New Roman" w:cs="Times New Roman"/>
                <w:lang w:eastAsia="en-US"/>
              </w:rPr>
              <w:t>,  ул. Ленина, д.263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lang w:eastAsia="en-US"/>
              </w:rPr>
              <w:t>Тел. (34377) 2-14-85</w:t>
            </w:r>
          </w:p>
          <w:p w:rsidR="003663D9" w:rsidRPr="003663D9" w:rsidRDefault="003663D9" w:rsidP="003663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63D9">
              <w:rPr>
                <w:rFonts w:ascii="Times New Roman" w:eastAsia="Calibri" w:hAnsi="Times New Roman" w:cs="Times New Roman"/>
                <w:lang w:eastAsia="en-US"/>
              </w:rPr>
              <w:t xml:space="preserve">ОГРН 1216600015895  </w:t>
            </w:r>
          </w:p>
          <w:p w:rsidR="005F39A6" w:rsidRPr="0042760D" w:rsidRDefault="003663D9" w:rsidP="003663D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3D9">
              <w:rPr>
                <w:rFonts w:ascii="Times New Roman" w:eastAsia="Calibri" w:hAnsi="Times New Roman" w:cs="Times New Roman"/>
                <w:lang w:eastAsia="en-US"/>
              </w:rPr>
              <w:t>ИНН 6683018227  КПП 668301001</w:t>
            </w:r>
          </w:p>
        </w:tc>
        <w:tc>
          <w:tcPr>
            <w:tcW w:w="4786" w:type="dxa"/>
            <w:shd w:val="clear" w:color="auto" w:fill="auto"/>
          </w:tcPr>
          <w:p w:rsidR="003663D9" w:rsidRDefault="00600EC9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0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663D9" w:rsidRDefault="003663D9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1C5C" w:rsidRPr="004F1C5C" w:rsidRDefault="004F1C5C" w:rsidP="00274E1C">
            <w:pPr>
              <w:snapToGrid w:val="0"/>
              <w:spacing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C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Белоярского городского округа</w:t>
            </w:r>
          </w:p>
          <w:p w:rsidR="005F39A6" w:rsidRPr="0047117D" w:rsidRDefault="005F39A6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63D9" w:rsidRPr="003663D9" w:rsidRDefault="003663D9" w:rsidP="00274E1C">
      <w:pPr>
        <w:snapToGrid w:val="0"/>
        <w:spacing w:after="0"/>
        <w:ind w:right="174"/>
        <w:rPr>
          <w:rFonts w:ascii="Times New Roman" w:eastAsia="Times New Roman" w:hAnsi="Times New Roman" w:cs="Times New Roman"/>
          <w:sz w:val="24"/>
          <w:szCs w:val="24"/>
        </w:rPr>
      </w:pPr>
      <w:r w:rsidRPr="003663D9">
        <w:rPr>
          <w:rFonts w:ascii="Times New Roman" w:eastAsia="Times New Roman" w:hAnsi="Times New Roman" w:cs="Times New Roman"/>
          <w:sz w:val="24"/>
          <w:szCs w:val="24"/>
        </w:rPr>
        <w:t>_________________2021 г.№________</w:t>
      </w:r>
    </w:p>
    <w:p w:rsidR="003663D9" w:rsidRPr="003663D9" w:rsidRDefault="003663D9" w:rsidP="00274E1C">
      <w:pPr>
        <w:snapToGrid w:val="0"/>
        <w:spacing w:after="0"/>
        <w:ind w:right="174"/>
        <w:rPr>
          <w:rFonts w:ascii="Times New Roman" w:eastAsia="Times New Roman" w:hAnsi="Times New Roman" w:cs="Times New Roman"/>
          <w:sz w:val="24"/>
          <w:szCs w:val="24"/>
        </w:rPr>
      </w:pPr>
      <w:r w:rsidRPr="003663D9">
        <w:rPr>
          <w:rFonts w:ascii="Times New Roman" w:eastAsia="Times New Roman" w:hAnsi="Times New Roman" w:cs="Times New Roman"/>
          <w:sz w:val="24"/>
          <w:szCs w:val="24"/>
        </w:rPr>
        <w:t>на №________ от __________________</w:t>
      </w:r>
      <w:bookmarkStart w:id="0" w:name="_GoBack"/>
      <w:bookmarkEnd w:id="0"/>
    </w:p>
    <w:p w:rsidR="00C72FEC" w:rsidRDefault="00C72FEC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86B" w:rsidRDefault="00F0386B" w:rsidP="003F175A">
      <w:pPr>
        <w:shd w:val="clear" w:color="auto" w:fill="FFFFFF"/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направлении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386B" w:rsidRDefault="00F0386B" w:rsidP="003F175A">
      <w:pPr>
        <w:shd w:val="clear" w:color="auto" w:fill="FFFFFF"/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листка      о      состоянии       детского </w:t>
      </w:r>
    </w:p>
    <w:p w:rsidR="00F0386B" w:rsidRDefault="00F0386B" w:rsidP="003F175A">
      <w:pPr>
        <w:shd w:val="clear" w:color="auto" w:fill="FFFFFF"/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дорожно-транспортного травматизма</w:t>
      </w:r>
    </w:p>
    <w:p w:rsidR="00F27C2A" w:rsidRDefault="00F27C2A" w:rsidP="00555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86B" w:rsidRDefault="00F0386B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9A6" w:rsidRDefault="005F39A6" w:rsidP="00EE343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A3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 руководители!</w:t>
      </w:r>
    </w:p>
    <w:p w:rsidR="002701C8" w:rsidRPr="00690A33" w:rsidRDefault="002701C8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Pr="008E3D0B" w:rsidRDefault="00F27C2A" w:rsidP="008E3D0B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A7682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BD1A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A7682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</w:t>
      </w:r>
      <w:r w:rsidR="00BD1A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A7682">
        <w:rPr>
          <w:rFonts w:ascii="Times New Roman" w:eastAsia="Times New Roman" w:hAnsi="Times New Roman"/>
          <w:color w:val="000000"/>
          <w:sz w:val="28"/>
          <w:szCs w:val="28"/>
        </w:rPr>
        <w:t xml:space="preserve">с письмом </w:t>
      </w:r>
      <w:r w:rsidR="002618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ОГИБДД  МО МВД России «Заречный» </w:t>
      </w:r>
      <w:r w:rsidR="00D70B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EE7C06">
        <w:rPr>
          <w:rFonts w:ascii="Times New Roman" w:eastAsia="Times New Roman" w:hAnsi="Times New Roman"/>
          <w:color w:val="000000"/>
          <w:sz w:val="28"/>
          <w:szCs w:val="28"/>
        </w:rPr>
        <w:t>02.12</w:t>
      </w:r>
      <w:r w:rsidR="00D70B8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EE343A">
        <w:rPr>
          <w:rFonts w:ascii="Times New Roman" w:eastAsia="Times New Roman" w:hAnsi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 </w:t>
      </w:r>
      <w:r w:rsidR="00F038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="00EE7C06">
        <w:rPr>
          <w:rFonts w:ascii="Times New Roman" w:eastAsia="Times New Roman" w:hAnsi="Times New Roman"/>
          <w:color w:val="000000"/>
          <w:sz w:val="28"/>
          <w:szCs w:val="28"/>
        </w:rPr>
        <w:t>14888</w:t>
      </w:r>
      <w:r w:rsidR="001D456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618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0EC9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00EC9">
        <w:rPr>
          <w:rFonts w:ascii="Times New Roman" w:hAnsi="Times New Roman"/>
          <w:sz w:val="28"/>
          <w:szCs w:val="28"/>
        </w:rPr>
        <w:t>аправл</w:t>
      </w:r>
      <w:r w:rsidR="00F0386B">
        <w:rPr>
          <w:rFonts w:ascii="Times New Roman" w:hAnsi="Times New Roman"/>
          <w:sz w:val="28"/>
          <w:szCs w:val="28"/>
        </w:rPr>
        <w:t>я</w:t>
      </w:r>
      <w:r w:rsidRPr="00600EC9">
        <w:rPr>
          <w:rFonts w:ascii="Times New Roman" w:hAnsi="Times New Roman"/>
          <w:sz w:val="28"/>
          <w:szCs w:val="28"/>
        </w:rPr>
        <w:t xml:space="preserve">ю в </w:t>
      </w:r>
      <w:r w:rsidR="00C72F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Ваш </w:t>
      </w:r>
      <w:r w:rsidR="00F0386B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адрес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r w:rsidR="00F0386B">
        <w:rPr>
          <w:rFonts w:ascii="Times New Roman" w:hAnsi="Times New Roman"/>
          <w:sz w:val="28"/>
          <w:szCs w:val="28"/>
        </w:rPr>
        <w:t>и</w:t>
      </w:r>
      <w:r w:rsidRPr="00600EC9">
        <w:rPr>
          <w:rFonts w:ascii="Times New Roman" w:hAnsi="Times New Roman"/>
          <w:sz w:val="28"/>
          <w:szCs w:val="28"/>
        </w:rPr>
        <w:t xml:space="preserve">нформационный </w:t>
      </w:r>
      <w:r w:rsidR="00F0386B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листок о состоянии детского дорожно-транспортного травматизма </w:t>
      </w:r>
      <w:r w:rsidR="00D70B8D" w:rsidRPr="00D70B8D">
        <w:rPr>
          <w:rFonts w:ascii="Times New Roman" w:hAnsi="Times New Roman"/>
          <w:sz w:val="28"/>
          <w:szCs w:val="28"/>
        </w:rPr>
        <w:t>на территории оперативного обслуживания ОГИБДД МО МВД России «Заречный</w:t>
      </w:r>
      <w:r w:rsidR="00D70B8D" w:rsidRPr="008E3D0B">
        <w:rPr>
          <w:rFonts w:ascii="Times New Roman" w:hAnsi="Times New Roman"/>
          <w:sz w:val="28"/>
          <w:szCs w:val="28"/>
        </w:rPr>
        <w:t xml:space="preserve">» </w:t>
      </w:r>
      <w:r w:rsidR="00EE7C06">
        <w:rPr>
          <w:rFonts w:ascii="Times New Roman" w:hAnsi="Times New Roman"/>
          <w:color w:val="000000"/>
          <w:sz w:val="28"/>
          <w:szCs w:val="28"/>
        </w:rPr>
        <w:t>за 11</w:t>
      </w:r>
      <w:r w:rsidR="008E3D0B" w:rsidRPr="008E3D0B">
        <w:rPr>
          <w:rFonts w:ascii="Times New Roman" w:hAnsi="Times New Roman"/>
          <w:color w:val="000000"/>
          <w:sz w:val="28"/>
          <w:szCs w:val="28"/>
        </w:rPr>
        <w:t xml:space="preserve"> месяцев 2021 года, а также анализ о состоянии детского дорожно – транспортного травматизма на территории </w:t>
      </w:r>
      <w:r w:rsidR="00EE7C06">
        <w:rPr>
          <w:rFonts w:ascii="Times New Roman" w:hAnsi="Times New Roman"/>
          <w:color w:val="000000"/>
          <w:sz w:val="28"/>
          <w:szCs w:val="28"/>
        </w:rPr>
        <w:t>Свердловской области за 10</w:t>
      </w:r>
      <w:r w:rsidR="00F978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3D0B"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="008E3D0B" w:rsidRPr="008E3D0B">
        <w:rPr>
          <w:rFonts w:ascii="Times New Roman" w:hAnsi="Times New Roman"/>
          <w:color w:val="000000"/>
          <w:sz w:val="28"/>
          <w:szCs w:val="28"/>
        </w:rPr>
        <w:t xml:space="preserve"> 2021 года.</w:t>
      </w:r>
      <w:proofErr w:type="gramEnd"/>
    </w:p>
    <w:p w:rsidR="003F175A" w:rsidRPr="001D4560" w:rsidRDefault="00F27C2A" w:rsidP="001D456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00EC9"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0EC9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 подготовленный </w:t>
      </w:r>
      <w:r w:rsidR="00C72F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материал в Уголках безопасности дорожного движения в 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600EC9">
        <w:rPr>
          <w:rFonts w:ascii="Times New Roman" w:hAnsi="Times New Roman"/>
          <w:sz w:val="28"/>
          <w:szCs w:val="28"/>
        </w:rPr>
        <w:t xml:space="preserve">, на сайтах образовательных </w:t>
      </w:r>
      <w:r>
        <w:rPr>
          <w:rFonts w:ascii="Times New Roman" w:hAnsi="Times New Roman"/>
          <w:sz w:val="28"/>
          <w:szCs w:val="28"/>
        </w:rPr>
        <w:t>организаций,</w:t>
      </w:r>
      <w:r w:rsidRPr="00600EC9">
        <w:rPr>
          <w:rFonts w:ascii="Times New Roman" w:hAnsi="Times New Roman"/>
          <w:sz w:val="28"/>
          <w:szCs w:val="28"/>
        </w:rPr>
        <w:t xml:space="preserve"> довести до педагогического состава и родителей.   </w:t>
      </w:r>
      <w:r w:rsidR="00D64155" w:rsidRPr="00D64155">
        <w:rPr>
          <w:rFonts w:ascii="Times New Roman" w:hAnsi="Times New Roman"/>
          <w:sz w:val="28"/>
          <w:szCs w:val="28"/>
        </w:rPr>
        <w:tab/>
      </w:r>
    </w:p>
    <w:p w:rsidR="00EE343A" w:rsidRDefault="00EE343A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663D9" w:rsidRDefault="0071126E" w:rsidP="003663D9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Приложение: на </w:t>
      </w:r>
      <w:r w:rsidR="00EE7C06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7C2A" w:rsidRPr="00F27C2A">
        <w:rPr>
          <w:rFonts w:ascii="Times New Roman" w:eastAsia="Calibri" w:hAnsi="Times New Roman" w:cs="Times New Roman"/>
          <w:sz w:val="28"/>
          <w:szCs w:val="28"/>
          <w:lang w:eastAsia="en-US"/>
        </w:rPr>
        <w:t>л. в 1 экз.</w:t>
      </w:r>
    </w:p>
    <w:p w:rsidR="003663D9" w:rsidRDefault="003663D9" w:rsidP="003663D9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63D9" w:rsidRDefault="003663D9" w:rsidP="003663D9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3663D9" w:rsidRDefault="003663D9" w:rsidP="003663D9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306E2">
        <w:rPr>
          <w:rFonts w:ascii="Times New Roman" w:eastAsia="Times New Roman" w:hAnsi="Times New Roman" w:cs="Times New Roman"/>
          <w:sz w:val="28"/>
          <w:szCs w:val="28"/>
        </w:rPr>
        <w:t>ачальник  У</w:t>
      </w:r>
      <w:r w:rsidR="002701C8" w:rsidRPr="002701C8">
        <w:rPr>
          <w:rFonts w:ascii="Times New Roman" w:eastAsia="Times New Roman" w:hAnsi="Times New Roman" w:cs="Times New Roman"/>
          <w:sz w:val="28"/>
          <w:szCs w:val="28"/>
        </w:rPr>
        <w:t xml:space="preserve">правления                      </w:t>
      </w:r>
      <w:r w:rsidR="002618F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97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 w:rsidR="00F97830">
        <w:rPr>
          <w:rFonts w:ascii="Times New Roman" w:eastAsia="Times New Roman" w:hAnsi="Times New Roman" w:cs="Times New Roman"/>
          <w:sz w:val="28"/>
          <w:szCs w:val="28"/>
        </w:rPr>
        <w:t>Захарова</w:t>
      </w:r>
    </w:p>
    <w:p w:rsidR="003663D9" w:rsidRDefault="003663D9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3663D9" w:rsidRDefault="003663D9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3663D9" w:rsidRDefault="003663D9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3663D9" w:rsidRDefault="003663D9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3663D9" w:rsidRDefault="003663D9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D64155" w:rsidRDefault="00D64155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EE7C06" w:rsidRDefault="00EE7C06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2701C8" w:rsidRP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Марина Владимировна </w:t>
      </w:r>
      <w:proofErr w:type="spellStart"/>
      <w:r w:rsidRPr="002701C8">
        <w:rPr>
          <w:rFonts w:ascii="Times New Roman" w:eastAsiaTheme="minorHAnsi" w:hAnsi="Times New Roman" w:cs="Times New Roman"/>
          <w:i/>
          <w:lang w:eastAsia="en-US"/>
        </w:rPr>
        <w:t>Корепанова</w:t>
      </w:r>
      <w:proofErr w:type="spellEnd"/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 </w:t>
      </w:r>
    </w:p>
    <w:p w:rsidR="00EE343A" w:rsidRDefault="002701C8" w:rsidP="00EE34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8(343 77) </w:t>
      </w:r>
      <w:r>
        <w:rPr>
          <w:rFonts w:ascii="Times New Roman" w:eastAsiaTheme="minorHAnsi" w:hAnsi="Times New Roman" w:cs="Times New Roman"/>
          <w:i/>
          <w:lang w:eastAsia="en-US"/>
        </w:rPr>
        <w:t>2-</w:t>
      </w:r>
      <w:r w:rsidR="003663D9">
        <w:rPr>
          <w:rFonts w:ascii="Times New Roman" w:eastAsiaTheme="minorHAnsi" w:hAnsi="Times New Roman" w:cs="Times New Roman"/>
          <w:i/>
          <w:lang w:eastAsia="en-US"/>
        </w:rPr>
        <w:t>26-54</w:t>
      </w:r>
    </w:p>
    <w:p w:rsidR="003663D9" w:rsidRDefault="003663D9" w:rsidP="008E3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663D9" w:rsidRPr="003663D9" w:rsidRDefault="003663D9" w:rsidP="003663D9">
      <w:pPr>
        <w:widowControl w:val="0"/>
        <w:tabs>
          <w:tab w:val="left" w:pos="86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i/>
        </w:rPr>
      </w:pPr>
      <w:r w:rsidRPr="003663D9">
        <w:rPr>
          <w:rFonts w:ascii="Times New Roman" w:eastAsia="Times New Roman" w:hAnsi="Times New Roman" w:cs="Times New Roman"/>
          <w:i/>
        </w:rPr>
        <w:lastRenderedPageBreak/>
        <w:t>Приложение</w:t>
      </w:r>
    </w:p>
    <w:p w:rsidR="003663D9" w:rsidRDefault="003663D9" w:rsidP="003663D9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3663D9">
        <w:rPr>
          <w:rFonts w:ascii="Times New Roman" w:eastAsia="Times New Roman" w:hAnsi="Times New Roman" w:cs="Times New Roman"/>
          <w:i/>
        </w:rPr>
        <w:t>к  письму от «___»_______________2021г. № _____</w:t>
      </w:r>
    </w:p>
    <w:p w:rsidR="003663D9" w:rsidRDefault="003663D9" w:rsidP="001D45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7C06" w:rsidRDefault="00EE7C06" w:rsidP="003663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663D9" w:rsidRDefault="003663D9" w:rsidP="003663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663D9">
        <w:rPr>
          <w:rFonts w:ascii="Times New Roman" w:hAnsi="Times New Roman"/>
          <w:b/>
          <w:sz w:val="28"/>
          <w:szCs w:val="28"/>
        </w:rPr>
        <w:t>Анализ</w:t>
      </w:r>
    </w:p>
    <w:p w:rsidR="003663D9" w:rsidRPr="003663D9" w:rsidRDefault="003663D9" w:rsidP="003663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663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состояния</w:t>
      </w:r>
      <w:r w:rsidRPr="003663D9">
        <w:rPr>
          <w:rFonts w:ascii="Times New Roman" w:hAnsi="Times New Roman"/>
          <w:b/>
          <w:sz w:val="28"/>
          <w:szCs w:val="28"/>
        </w:rPr>
        <w:t xml:space="preserve"> детского дорожно-транспортного травматизма </w:t>
      </w:r>
      <w:r w:rsidRPr="00366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 оперативного обслуживания ОГИБД</w:t>
      </w:r>
      <w:r w:rsid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</w:t>
      </w:r>
      <w:r w:rsid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МО МВД России «Заречный» за  11</w:t>
      </w:r>
      <w:r w:rsidR="00D641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месяцев</w:t>
      </w:r>
      <w:r w:rsidRPr="00366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2021 года</w:t>
      </w:r>
    </w:p>
    <w:p w:rsidR="003663D9" w:rsidRPr="003663D9" w:rsidRDefault="003663D9" w:rsidP="003663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11 месяцев 2021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13 ДТП </w:t>
      </w:r>
      <w:r w:rsidRPr="00EE7C0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(12; +8%).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Белоярского городского округа за 11 месяцев 2021 года с участием детей до 16 лет зарегистрировано 6 ДТП </w:t>
      </w:r>
      <w:r w:rsidRPr="00EE7C0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(9; -33%),</w:t>
      </w:r>
      <w:r w:rsidRP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которых пострадали 6 детей (4 ребенка – пассажира, 1 ребенок-велосипедист, 1 ребенок-пешеход погиб).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городского округа Заречный за 11 месяцев 2021 года с участием детей до 16 лет зарегистрировано 7 ДТП </w:t>
      </w:r>
      <w:r w:rsidRPr="00EE7C0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(3; + 133%)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, в которых 2 ребенка - пассажиры погибли, травмы получили 5-детей-пешеходов, 1 ребенок пассажир получил травмы.</w:t>
      </w:r>
    </w:p>
    <w:p w:rsid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городского округа Верхнее Дуброво за 11 месяцев 2021 года ДТП не  зарегистрировано (0). </w:t>
      </w:r>
    </w:p>
    <w:p w:rsid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20.02.2021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года в 13 асов 15 минут на 63 км + 820 м федеральной автодороги «Екатеринбург – Шадринск – Курган» водитель автомобиля «Хендэ Акцент», при выезде 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второстепенной дороги не уступил право проезда транспортному средству имеющему преимущество в движении «Лада Калина». В результате ДТП пострадал 15-летний пассажир автомобиля «Лада Калина». Ребенок перевозился без нарушений.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01.05.2021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19:10 по адресу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елоярский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Ленина, 310 Водитель 1991 года рождения (29 лет), двигаясь по автодороге ул. Февральская в сторону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г.Асбест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подъезжая к регулируемом перекрестку допустил наезд на пешехода </w:t>
      </w:r>
    </w:p>
    <w:p w:rsidR="00EE7C06" w:rsidRPr="00EE7C06" w:rsidRDefault="00EE7C06" w:rsidP="00EE7C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2006 (15лет), которая пересекала на велосипеде проезжую часть дороги слева направо по ходу движения автомобиля.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Ранена несовершеннолетняя велосипедистка 2006 (15лет) пешеход. В результате ДТП получила травмы: Ушибы колен, ушиб грудной клетки, ссадина правого плеча.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ребенка.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06">
        <w:rPr>
          <w:rFonts w:ascii="Times New Roman" w:eastAsia="Calibri" w:hAnsi="Times New Roman" w:cs="Times New Roman"/>
          <w:b/>
          <w:sz w:val="28"/>
          <w:szCs w:val="28"/>
        </w:rPr>
        <w:t>31 июля 2021 года</w:t>
      </w:r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, в 23 часа 00 минут на 23 км федеральной автодороги «Екатеринбург </w:t>
      </w:r>
      <w:proofErr w:type="gramStart"/>
      <w:r w:rsidRPr="00EE7C06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EE7C06">
        <w:rPr>
          <w:rFonts w:ascii="Times New Roman" w:eastAsia="Calibri" w:hAnsi="Times New Roman" w:cs="Times New Roman"/>
          <w:sz w:val="28"/>
          <w:szCs w:val="28"/>
        </w:rPr>
        <w:t>юмень»,по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 предварительной информации, водитель автомобиля 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«Ниссан 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Тиида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двигаясь по автодороге со стороны города Екатеринбург в сторону поселка 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Режик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допустила съезд с проезжей части с последующим наездом на препятствие (дерево) в результате происшествия на месте погибли две женщины три человека в том числе ребенок 2012 года рождения получили травмы. 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В результате дорожно-транспортного происшествия </w:t>
      </w:r>
      <w:proofErr w:type="gramStart"/>
      <w:r w:rsidRPr="00EE7C06">
        <w:rPr>
          <w:rFonts w:ascii="Times New Roman" w:eastAsia="Calibri" w:hAnsi="Times New Roman" w:cs="Times New Roman"/>
          <w:sz w:val="28"/>
          <w:szCs w:val="28"/>
        </w:rPr>
        <w:t>погибли 45-летняя женщина пассажир находилась</w:t>
      </w:r>
      <w:proofErr w:type="gramEnd"/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 на заднем пассажирском сидении справа и 37 – летняя женщина пассажир находилась на переднем пассажирском сидении, </w:t>
      </w:r>
      <w:r w:rsidRPr="00EE7C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ранения получили 47-летняя водитель (стаж управления 10 лет), 47-летний и 9-летний ребенок пассажир автомобиля 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«Ниссан 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Тиида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Пострадавший ребенок, находился на заднем пассажирском сидении </w:t>
      </w:r>
      <w:proofErr w:type="gramStart"/>
      <w:r w:rsidRPr="00EE7C06">
        <w:rPr>
          <w:rFonts w:ascii="Times New Roman" w:eastAsia="Calibri" w:hAnsi="Times New Roman" w:cs="Times New Roman"/>
          <w:sz w:val="28"/>
          <w:szCs w:val="28"/>
        </w:rPr>
        <w:t>по середине</w:t>
      </w:r>
      <w:proofErr w:type="gramEnd"/>
      <w:r w:rsidRPr="00EE7C06">
        <w:rPr>
          <w:rFonts w:ascii="Times New Roman" w:eastAsia="Calibri" w:hAnsi="Times New Roman" w:cs="Times New Roman"/>
          <w:sz w:val="28"/>
          <w:szCs w:val="28"/>
        </w:rPr>
        <w:t>, пристегнут штатным ремнем безопасности. Ребенок перевозился без нарушений Правил дорожного движения. Все были пристегнуты штатным ремнем безопасности.  </w:t>
      </w:r>
      <w:r w:rsidRPr="00EE7C06">
        <w:rPr>
          <w:rFonts w:ascii="Times New Roman" w:eastAsia="Calibri" w:hAnsi="Times New Roman" w:cs="Times New Roman"/>
          <w:b/>
          <w:sz w:val="28"/>
          <w:szCs w:val="28"/>
        </w:rPr>
        <w:t>ДТП произошло по вине водителя автомобиля «Ниссан»</w:t>
      </w:r>
      <w:proofErr w:type="gramStart"/>
      <w:r w:rsidRPr="00EE7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7C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E7C06" w:rsidRPr="00EE7C06" w:rsidRDefault="00EE7C06" w:rsidP="00EE7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04.08.2021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19 часов 45 минут на 8 км + 530 м региональной  автодороги «Белоярский-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Кочневское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» по улице Уральская возле дома 22 водитель автомобиля «Ваз-21053» с государственным регистрационным знаком Х320ОК66, Масленникова Виктора Владимировича, 08.08.1958 года рождения, двигаясь со стороны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>очневское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направлении п. Белоярский, при пересечении нерегулируемого пешеходного перехода не предоставил преимущество в движении, совершил наезд на несовершеннолетнего пешехода, Степанова Богдана Юрьевича 23.11.2011 года рождения (9 лет).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 xml:space="preserve"> ДТП произошло по вине водителя автомобиля.</w:t>
      </w:r>
    </w:p>
    <w:p w:rsidR="00EE7C06" w:rsidRPr="00EE7C06" w:rsidRDefault="00EE7C06" w:rsidP="00EE7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27.08.2021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года в 11 часов 30 минут на 65 км + 450 м федеральной автодороги «Екатеринбург – Тюмень» водитель автомобиля «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Скания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Николюк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Александра Афанасьевич, 28.09.1961 года рождения при движении со стороны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>юмень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сторону г. Екатеринбург не выбрал безопасную дистанцию до впереди движущегося автомобиля в результате чего допустил столкновение спереди движущимся автомобилем «Лада Гранта» г/н Н861ОВ196 под управлением Новикова Артема Владимировича 12.03.2001 года рождения.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EE7C06" w:rsidRPr="00EE7C06" w:rsidRDefault="00EE7C06" w:rsidP="00EE7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29.08.2021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года в 15 часов на 41 км + 600 м федеральной автодороги «Екатеринбург – Шадринск – Курган» водитель автомобиля «Опель Астра»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Тишковец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Фирдаусовна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31.08.1981 года рождения, при выполнении маневра разворот не убедилась в безопасности выполнения 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маневра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чего допустила столкновение с попутно движущимся автомобилем «ВАЗ-21154» г/н Р947НР96 под управлением водителя Михайлова Алексея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, 26.02.1978 года рождения, который двигался со стороны г. Екатеринбу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рг в ст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орону г. Каменск – Уральский.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EE7C06" w:rsidRPr="00EE7C06" w:rsidRDefault="00EE7C06" w:rsidP="00EE7C06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состояния детского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дорожно-транспортного травматизма</w:t>
      </w:r>
    </w:p>
    <w:p w:rsidR="00EE7C06" w:rsidRPr="00EE7C06" w:rsidRDefault="00EE7C06" w:rsidP="00EE7C06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на территории Свердловской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месяцев 2021 года</w:t>
      </w:r>
    </w:p>
    <w:p w:rsidR="00EE7C06" w:rsidRPr="00EE7C06" w:rsidRDefault="00EE7C06" w:rsidP="00EE7C06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C06" w:rsidRPr="00EE7C06" w:rsidRDefault="00EE7C06" w:rsidP="00EE7C06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-654050</wp:posOffset>
            </wp:positionH>
            <wp:positionV relativeFrom="paragraph">
              <wp:posOffset>216535</wp:posOffset>
            </wp:positionV>
            <wp:extent cx="3035935" cy="3371215"/>
            <wp:effectExtent l="3175" t="0" r="0" b="317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C06" w:rsidRPr="00EE7C06" w:rsidRDefault="00EE7C06" w:rsidP="00EE7C06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Свердловской области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десять месяцев 2021 г. зарегистрировано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310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(265; +16,5%) ДТП с участием несовершеннолетних, в которых 325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(297; +9%) детей получили травмы различной степени тяжести и погиб 21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(3; +600%).</w:t>
      </w:r>
    </w:p>
    <w:p w:rsidR="00EE7C06" w:rsidRPr="00EE7C06" w:rsidRDefault="00EE7C06" w:rsidP="00EE7C06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EE7C06" w:rsidRPr="00EE7C06" w:rsidRDefault="00EE7C06" w:rsidP="00EE7C06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ДТП с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погибшими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зарегистрированы в Екатеринбурге 6 (+100%), Каменске-Уральском3(+100%),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Ивделе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Серове и Заречном по 2 (+100%),Березовском, Первоуральске и Реже по 1 (+100%):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02.01.2021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около 15 часов в </w:t>
      </w:r>
      <w:proofErr w:type="spellStart"/>
      <w:r w:rsidRPr="00EE7C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Каменском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городском</w:t>
      </w:r>
      <w:proofErr w:type="spellEnd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округе, с. </w:t>
      </w:r>
      <w:proofErr w:type="spellStart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Рыбниковско</w:t>
      </w:r>
      <w:proofErr w:type="gramStart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е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зона обслуживания МО МВД России «Каменск-Уральский»)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EE7C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автомобиля.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От полученных травм мальчик скончался на месте происшествия.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Погибший находился в сопровождении 14-летней сестры</w:t>
      </w:r>
      <w:r w:rsidRPr="00EE7C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и еще троих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Световозвращающие</w:t>
      </w:r>
      <w:proofErr w:type="spellEnd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элементы на одежде детей отсутствовали.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07.02.2021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около 10.00 часов в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Ивдельском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районе на 116 км автодороги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-ХМАО (зона обслуживания МО МВД России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») водитель автомобиля «Тойота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ЛендКрузер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при совершении обгона не убедился в безопасности маневра, не учел погодные условия (метель), допустил столкновение с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Сид», который двигался во встречном направлении.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сидении. Ее 10 летняя сестра, в момент аварии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сиделарядом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Югорска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в Екатеринбург на отдых. Водитель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 не приходя в сознание.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03.</w:t>
      </w: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03.2021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около 10.00 часов на 88 км автодороги Серов – Сосьва – Гар</w:t>
      </w:r>
      <w:proofErr w:type="gram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зона обслуживания МО МВД России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Серовский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»)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46-летний водитель автомобиля «Рено»,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Камаз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br/>
        <w:t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сада, пояснив воспитателю, что им необходимо ехать в г. Серов к стоматологу.  При этом никто </w:t>
      </w:r>
      <w:proofErr w:type="gram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не обратил внимание</w:t>
      </w:r>
      <w:proofErr w:type="gram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14.03.2021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около 19.00 в Заречном районе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на 48 км автодороги «Екатеринбург-Тюмень» (зона обслуживания МО МВД России «Заречный»), водитель автомобиля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не справился с управлением транспортного средства, допустил вые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зд встр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–н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Несовершеннолетние со своими законными представителями направлялись домой после отдыха на горячих источниках в г. Тюмень.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23.03.2021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около 17.00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вг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.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Екатеринбурге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 пр. Космонавтов, напротив дома №92, в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одитель автомобиля «Ниссан» допустил наезд на 9 летнюю девочку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-п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ешехода, которая перебегала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11.04.2021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лямки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и она делала ребенку замечания, но в этот раз не заметила.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10.05.2021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Дукато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lastRenderedPageBreak/>
        <w:t>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13.05.2021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Солярис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23.05.2021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Серовский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городской округ,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27.05.2021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00.30 часов в Екатеринбурге на 9 км дублера Сибирского тракта водитель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», двигаясь со стороны г. Тюмень не обеспечил постоянный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», с переломом основания черепа, закрытой черепно-мозговой травмой госпитализирован в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  <w:t xml:space="preserve">9 ДГКБ, где на 7 сутки скончался. В момент ДТП ребенок находился на заднем пассажирском сидении 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 - отец ребенка, пояснил, что во время движения отвлекся на сына, из-за чего не заметил стоящий автомобиль.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12.06.2021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11.30 часов в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Ивдельском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Ивдель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-ХМАО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(зона обслуживания МО МВД России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»)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Кашкай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 по неустановленной причине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ДжилиКулрэй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Кашкай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автомобиля,в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тяжелом состоянии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госпитализирована в больницу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.И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вдель.В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момент аварии все были пристегнуты ремнями безопасности.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Семья направлялась на отдых.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gramStart"/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lastRenderedPageBreak/>
        <w:t>03.07.2021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19.00 часов в Первоуральском районе на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8 км подъездной автодороги к озеру Глухое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водитель автомобиля "Фиат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Дукато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04.08.2021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20.00 часов по адресу: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Белоярский район, поселок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Белореченский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Отец мальчика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Водитель дать какие-либо пояснения по факту ДТП не смог из-за сильнейшего опьянения.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18.08.2021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21.00 часов по адресу: г. Каменск-Уральский, ул. Пушкина, напротив дома №1, водитель автомобиля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/>
        </w:rPr>
        <w:t>MazdaCX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-5» допустил наезд на двух пешеходов,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8-летнюю девочку и её 69-летнюю бабушку, которые 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переходили проезжую часть дороги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RenaultDuster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». В результате ДТП пешеходы от полученных травм скончались на месте ДТП до приезда скорой медицинской помощи.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дома</w:t>
      </w:r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</w:t>
      </w:r>
      <w:proofErr w:type="spellEnd"/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момент ДТП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</w:rPr>
        <w:t>28.09.2021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округ, поселок Кедровка</w:t>
      </w:r>
      <w:proofErr w:type="gramStart"/>
      <w:r w:rsidRPr="00EE7C06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.</w:t>
      </w:r>
      <w:proofErr w:type="gramEnd"/>
      <w:r w:rsidRPr="00EE7C06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gramStart"/>
      <w:r w:rsidRPr="00EE7C06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у</w:t>
      </w:r>
      <w:proofErr w:type="gramEnd"/>
      <w:r w:rsidRPr="00EE7C06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л. Трудовая, напротив дома №4,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водитель грузового фургона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Зил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Зил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, чтобы занять денег, в этот момент ребенок побежал к дороге и залез под автомашину.</w:t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>03.10.2021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около 16.40 в Екатеринбурге на 11 км автодороги Екатеринбург-Серов обратное направление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водитель автомобиля «Рено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Логан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» допустил столкновение с двигавшимся впереди в попутном направлении грузовым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Камаз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», после чего произошло возгорание легкового автомобиля.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В результате аварии погиб пассажир автомобиля «Рено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Логан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», 3-х летний мальчик, еще двое, водитель и женщина-пассажир легкового автомобиля, родители ребенка, госпитализированы. 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детей, взрослые также были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пристегнуты ремнями безопасности.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Установлено, что семья направлялась с дачи домой.</w:t>
      </w:r>
    </w:p>
    <w:p w:rsidR="00EE7C06" w:rsidRPr="00EE7C06" w:rsidRDefault="00EE7C06" w:rsidP="00EE7C06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>04.10.2021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около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21.00 в Екатеринбурге при движении трамвая Т3по ул. 8 Марта,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несовершеннолетний пассажир, находившийся вне кабины транспортного средства на сцепке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междувагонами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трамвая. В результате ДТП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погибла 13-летняя девочка-пассажир. Установлено, что девочка каталась в компании трех друзей на заднем прицепном устройстве трамвая, после чего пересела вместе с другом на сцепку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между вагонами. При начале движения транспортного средства девочка не удержалась и допустила падение на трамвайные пути. Мать девочки в момент ДТП находилась на работе, о месте нахождения дочери не знала.</w:t>
      </w:r>
    </w:p>
    <w:p w:rsidR="00EE7C06" w:rsidRPr="00EE7C06" w:rsidRDefault="00EE7C06" w:rsidP="00EE7C06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>10.10.2021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около 14.00 в Екатеринбурге 10-летний водитель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Rayo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», при выезде с прилегающей территории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на улицу Димитрова и пересекая ее в прямом направлении, не уступил дорогу и допустил столкновение с автомашиной «Пежо 4007». В результате ДТП пассажир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Rayo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», 8-ми летний мальчик, брат водителя, получил травмы несовместимые с жизнью. Водитель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госпитализирован. Установлено, что родители подарили детям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питбайкоколо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двух месяцев назад, но разрешали кататься только около дома в частном секторе. В этот день дети ослушались родителей и уехали кататься по городу вместе с друзьями, которые передвигались на скутере. Подростки на скутере двигались впереди и успели проскочить перед движущимся автомобилем, водитель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EE7C06" w:rsidRPr="00EE7C06" w:rsidRDefault="00EE7C06" w:rsidP="00EE7C0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 16 муниципальных образованиях Свердловской области отмечается рост аварийности с участием несовершеннолетних.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На 200% увеличилось количество ДТП в Верхней Салде и Североуральске (по 3 ДТП); на 175%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Краснотурьинске (11 ДТП); на 100% в Серове (6 ДТП), Туринске (5 ДТП), Лесном (4 ДТП), Байкалово, Красноуральске, Ревде, Сухом Логу (по 2 ДТП)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Артемовском (1 ДТП);на 55%в 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Каменске-Уральском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(14 ДТП); на 50,5 % в Екатеринбурге (140 ДТП); на 33,3% в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Кировграде (по 4 ДТП), на8,3%вЗаречном (13 ДТП).</w:t>
      </w:r>
    </w:p>
    <w:p w:rsidR="00EE7C06" w:rsidRPr="00EE7C06" w:rsidRDefault="00EE7C06" w:rsidP="00EE7C0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34100" cy="361950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lastRenderedPageBreak/>
        <w:t>39% (137) пострадавших и погибших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в ДТП детей приходится на среднее школьное звено, 34% (121) на начальную школу и 27% (88) на дошкольный возраст, при этом большая часть пострадали и погибли в качестве пассажиров транспортных средств.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48000" cy="225742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38475" cy="2257425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По причине нарушения ПДД РФ водителями автотранспортных средств количество ДТП увеличилось на 12,7% (230), количество раненых в них детей на 5,5% (249) и погибших на 433,3% (16).</w:t>
      </w:r>
    </w:p>
    <w:p w:rsidR="00EE7C06" w:rsidRPr="00EE7C06" w:rsidRDefault="00EE7C06" w:rsidP="00EE7C06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86500" cy="166687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76% ДТП (220) произошли при ясной погоде и 24% (90) при неблагоприятных метеорологических условиях (пасмурно, дождь,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38875" cy="18383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75% (227) происшествий с участием несовершеннолетних произошли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21 ч. 00 мин. (178 ДТП, 183 ранены,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</w:r>
      <w:r w:rsidRPr="00EE7C06">
        <w:rPr>
          <w:rFonts w:ascii="Times New Roman" w:eastAsia="Times New Roman" w:hAnsi="Times New Roman" w:cs="Times New Roman"/>
          <w:sz w:val="28"/>
          <w:szCs w:val="28"/>
        </w:rPr>
        <w:lastRenderedPageBreak/>
        <w:t>12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15050" cy="180022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81675" cy="206692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дорогах, расположенных в черте населенных пунктов, зарегистрировано 255 ДТП (+24%), в которых пострадали 264 (+19,5%) ребенка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и 11 погибли (+450%).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количества ДТП в населенных пунктах произошло в Екатеринбурге – 132 (+43,5%); 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Каменске-Уральском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 (+400%); Березовском -6 (+50%),Краснотурьинске – 6 (+500%); Заречном – 5 (+400%), Туринске - 5 (+100%); Серове – 5 (+67%),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Режевском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 – 5 (+25%);в Пригородном районе (Нижний Тагил) -4 (+300%), Лесном-4 (+100%);в Верхней Салде – 3 (+200%), Каменском районе – 3 (+100%); в Кушве, Нижней Туре,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Слободо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-Туринском и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Сухоложском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районах по 2 (+100%); 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Артемовском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Красноуфимском районах по 1 (+100%).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 вне населенных пунктов зарегистрировано 55 ДТП (-10%), травмирован61 (-20%) ребенок и 10 погибли (+900%). Из них, на дорогах федерального значения зарегистрировано 16 ДТП (-11%), в которых пострадали 22ребенка (-8%) и 2 погибли (+100%).На автомобильных дорогах регионального значения произошло 52 ДТП (-5%), в которых 51 (-22%) ребенок получил травмы различной степени тяжести и 10 погибли (+900%). На дорогах местного значения зарегистрировано 207 ДТП (+ 27%), в которых травмированы 217 (+25%) детей и 9 погибли (+350%).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62700" cy="170497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116205</wp:posOffset>
            </wp:positionV>
            <wp:extent cx="1062990" cy="1621155"/>
            <wp:effectExtent l="0" t="0" r="3810" b="0"/>
            <wp:wrapSquare wrapText="bothSides"/>
            <wp:docPr id="16" name="Рисунок 16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 участием </w:t>
      </w:r>
      <w:r w:rsidRPr="00EE7C0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детей - пассажиров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135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(134; +0,7%) ДТП, в которых пострадал151 (160; -5,6%) 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14 (1; +1300%)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погибли. Из них в возрасте до 12 лет травмированы109детей (-7,6%) и 12 погибли (+100%).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Доля ДТП с участием детей - пассажиров от общего показателя аварийности с участием детей составила 43%.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В 63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EE7C06" w:rsidRPr="00EE7C06" w:rsidRDefault="00EE7C06" w:rsidP="00EE7C06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133850" cy="139065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В 16 случаях ДТП водители перевозили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юных пассажиров в возрасте до 12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 нарушением правил перевозки детей,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этих авариях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травмированы 18несовершеннолетних (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12;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+50%) и 4 погибли (+100%):Екатеринбург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ДТП; Богданович,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Заречный,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Ивдель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, Каменский район, Нижний Тагил, Новая Ляля, Первоуральск,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Ревда, Реж, Североуральск,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Серов, Тавда по – 1 ДТП.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Троих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перевозили в детских удерживающих устройствах, не соответствующих росту и весу юных пассажиров, еще тринадцат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без детских удерживающих устройств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не пристегнутыми ремнями безопасности.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При этом в 11 случаях нарушения перевозки детей допустили отцы.</w:t>
      </w:r>
    </w:p>
    <w:p w:rsidR="00EE7C06" w:rsidRPr="00EE7C06" w:rsidRDefault="00EE7C06" w:rsidP="00EE7C06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10300" cy="18288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 (68) и слева (50).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Подавляющее большинство происшествий, в которых пострадали дети-пассажир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столкновения транспортных средств (110; +4%), количество травмированных в них детей увеличилось на 2% (126), погибших на 100% (13).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Устойчивый рост количества ДТП с участием детей-пассажиров зарегистрирован с 10.00 до 22.00 (110 ДТП, 128 ранены и 12 погибли), с максимальными значениями аварийности в период с 17.00 до 22.00 (50 ДТП,54 ранены, 6 погибли). Большинство аварий произошло в субботу (32 ДТП, 40 ранены, 3 погибли) и воскресенье (27 ДТП, 29 ранены, 7 погибли).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15" name="Рисунок 15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EE7C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детей-пешеходов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зарегистрировано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>142ДТП (105; +35,2%), в которых пострадал 141 (109; +29,4%) ребенок и 6 погибли (2; +400%). От общего показателя аварийности с участием несовершеннолетних доля ДТП с участием дете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пешеходов составила 45%.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На 29% (67) увеличилось количество ДТП по собственной неосторожности несовершеннолетних пешеходов, в которых пострадали65детей (+27,5%) и3 погибли (+200%).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Каждый второй наезд на ребенка (55 ДТП) совершен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пешеходном переходе. В таких происшествиях травмированы56 юных пешеходов(+27%) и 1 погиб (уровень АППГ). </w:t>
      </w:r>
    </w:p>
    <w:p w:rsidR="00EE7C06" w:rsidRPr="00EE7C06" w:rsidRDefault="00EE7C06" w:rsidP="00EE7C0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15000" cy="17049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На 33,3% (16) увеличилось количество происшествий с детьми-пешеходами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элементов.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Участниками каждого второго происшествия (68) стали дети-пешеходы в возрасте 8-10 лет (45; +125%). Все наезды произошли в городах и населенных пунктах.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Наибольшие показатели количества ДТП с участием детей-пешеходов зафиксированы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в пятницу (29 ДТП; +93,3%) и во вторник (26 ДТП; +13%), при этом 2 ребенка погибли в среду (+100%), в понедельник, вторник, четверг и субботу по 1 (+100%).Наименьшее количество наездов зарегистрированы в воскресенье (11 ДТП). По времени совершения самым опасным является с 15 до 20 часов, в это время произошло 70% ДТП с участием юных пешеходов (99 ДТП, 98 ранены и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погибли), при этом максимальные значения зарегистрированы в период с 17 до 19 часов (48 ДТП, 3 погибли). Минимальное количество ДТП по времени совершения произошло в период с 09 до 10 и с 11 до 12 часов (по 2 ДТП).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 43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занимается только один родитель. В пятнадцати случаях ДТП произошли с детьми из многодетных семей, когда ребенок находился в сопровождении братьев, либо сестер. В 32 случаях ДТП с детьми, родители которых не имеют постоянное место работы,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13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EE7C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юных водителей </w:t>
      </w:r>
      <w:proofErr w:type="spellStart"/>
      <w:r w:rsidRPr="00EE7C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велотранспорта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зарегистрировано 30 ДТП (21; +43%), в результате которых пострадали 30детей (21; +43%), из них 14 (-6,7%) пострадали по собственной неосторожности. При этом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случаях у детей отсутствовали средства пассивной защиты (шлем, налокотники, наколенники)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>частниками каждого второго случая (12) стали дети-велосипедисты в возрасте 8-9 лет (7; +250%), 12-13и 15-16 лет (по 4; +300%). Наибольшее количество ДТП зафиксированы в понедельник (8; + 167%) и субботу (6; +50%). По времени совершения самым опасным является с 17 до 20 часов (14 ДТП).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EE7C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юных водителей мототранспорта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зарегистрировано 4 ДТП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(7; -43%), в результате которых погиб 1 ребенок (+100%), еще 3 получили травмы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(7; -57%). Аварии зарегистрированы в Екатеринбурге,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819775" cy="18478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Вина несовершеннолетних 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усматривается в 86 ДТП из 310и составляет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27% от общего количества дорожных аварий с участием детей: Екатеринбург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>45 (2 погибли; +40,6%);по 4 в Краснотурьинске (+33,3%)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Нижнем Тагиле(-43%);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по 3 в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Артях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(+200%), Березовском (+50%), Реже (1 погиб, +200%,) и Заречном (+200%); по 2 в 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Каменске-Уральском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>, Байкалово, Первоуральске, Сысерти и Туринске (+100%)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;по 1 в Богдановиче, Полевском, Североуральске, Сухом Логу, Тугулыме (уровень АППГ), Верхней Салде, Нижних Сергах, Талице, Шале(+100%)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Серове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(1 погиб) и Красноуфимске(-50%).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Основными нарушениями ПДД РФ, допущенными юными пешеходами, стали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переход проезжей части в неустановленном месте, в зоне видимости пешеходного перехода (29), неожиданный выход на проезжую часть из-за стоящего транспортного средства, сооружений или деревьев (26), неподчинение сигналам регулирования (6) и нахождение на проезжей части без цели перехода (3), иные нарушения ПДД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lastRenderedPageBreak/>
        <w:t>пешеходами (3);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детьми-велосипедистами – пересечение проезжей части дороги по пешеходному переходу, не спешившись (8); не предоставление преимущества в движении при выезде с прилегающей территории, второстепенной дороги (6) и (4) детьми-водителями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мототраснпорта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562725" cy="26193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EE7C06" w:rsidRPr="00EE7C06" w:rsidRDefault="00EE7C06" w:rsidP="00EE7C06">
      <w:pPr>
        <w:keepNext/>
        <w:spacing w:before="71"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F97830" w:rsidRPr="0071126E" w:rsidRDefault="00F97830" w:rsidP="00C72FEC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97830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0F1D3C"/>
    <w:rsid w:val="001430EE"/>
    <w:rsid w:val="001D4560"/>
    <w:rsid w:val="002618FA"/>
    <w:rsid w:val="00262166"/>
    <w:rsid w:val="002701C8"/>
    <w:rsid w:val="00274E1C"/>
    <w:rsid w:val="003470B1"/>
    <w:rsid w:val="003663D9"/>
    <w:rsid w:val="00385C1C"/>
    <w:rsid w:val="003F175A"/>
    <w:rsid w:val="004F1C5C"/>
    <w:rsid w:val="00523109"/>
    <w:rsid w:val="005306E2"/>
    <w:rsid w:val="00553B1D"/>
    <w:rsid w:val="005556FA"/>
    <w:rsid w:val="005F39A6"/>
    <w:rsid w:val="00600EC9"/>
    <w:rsid w:val="0071126E"/>
    <w:rsid w:val="00784A42"/>
    <w:rsid w:val="008D2F1D"/>
    <w:rsid w:val="008E3D0B"/>
    <w:rsid w:val="00934953"/>
    <w:rsid w:val="00944EAD"/>
    <w:rsid w:val="00A245F8"/>
    <w:rsid w:val="00AE0E3F"/>
    <w:rsid w:val="00B11BCC"/>
    <w:rsid w:val="00B350A0"/>
    <w:rsid w:val="00BD1AEE"/>
    <w:rsid w:val="00C712C6"/>
    <w:rsid w:val="00C72FEC"/>
    <w:rsid w:val="00D64155"/>
    <w:rsid w:val="00D70B8D"/>
    <w:rsid w:val="00DB1449"/>
    <w:rsid w:val="00DD1890"/>
    <w:rsid w:val="00EE343A"/>
    <w:rsid w:val="00EE7C06"/>
    <w:rsid w:val="00F0386B"/>
    <w:rsid w:val="00F27C2A"/>
    <w:rsid w:val="00F97830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F81BD"/>
            </a:solidFill>
            <a:ln w="25540">
              <a:noFill/>
            </a:ln>
          </c:spPr>
          <c:invertIfNegative val="0"/>
          <c:dLbls>
            <c:spPr>
              <a:noFill/>
              <a:ln w="255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504D"/>
            </a:solidFill>
            <a:ln w="25540">
              <a:noFill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 w="25540">
                <a:noFill/>
              </a:ln>
            </c:spPr>
          </c:dPt>
          <c:dLbls>
            <c:dLbl>
              <c:idx val="0"/>
              <c:layout>
                <c:manualLayout>
                  <c:x val="3.7617554858934185E-2"/>
                  <c:y val="-7.1684587813620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5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184384"/>
        <c:axId val="93185920"/>
        <c:axId val="0"/>
      </c:bar3DChart>
      <c:catAx>
        <c:axId val="9318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7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85920"/>
        <c:crosses val="autoZero"/>
        <c:auto val="1"/>
        <c:lblAlgn val="ctr"/>
        <c:lblOffset val="100"/>
        <c:noMultiLvlLbl val="0"/>
      </c:catAx>
      <c:valAx>
        <c:axId val="93185920"/>
        <c:scaling>
          <c:orientation val="minMax"/>
        </c:scaling>
        <c:delete val="0"/>
        <c:axPos val="l"/>
        <c:majorGridlines>
          <c:spPr>
            <a:ln w="957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7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84384"/>
        <c:crosses val="autoZero"/>
        <c:crossBetween val="between"/>
      </c:valAx>
      <c:spPr>
        <a:noFill/>
        <a:ln w="25540">
          <a:noFill/>
        </a:ln>
      </c:spPr>
    </c:plotArea>
    <c:legend>
      <c:legendPos val="b"/>
      <c:overlay val="0"/>
      <c:spPr>
        <a:noFill/>
        <a:ln w="255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7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2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2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40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8969799868766403"/>
          <c:y val="0"/>
        </c:manualLayout>
      </c:layout>
      <c:overlay val="0"/>
      <c:spPr>
        <a:noFill/>
        <a:ln w="25417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1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62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62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62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62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62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62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17268674748997E-2"/>
                  <c:y val="-2.67761330718616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1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3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7">
          <a:noFill/>
        </a:ln>
      </c:spPr>
    </c:plotArea>
    <c:plotVisOnly val="1"/>
    <c:dispBlanksAs val="zero"/>
    <c:showDLblsOverMax val="0"/>
  </c:chart>
  <c:spPr>
    <a:solidFill>
      <a:schemeClr val="bg1"/>
    </a:solidFill>
    <a:ln w="953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 w="2538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7"/>
            <c:spPr>
              <a:solidFill>
                <a:schemeClr val="accent6"/>
              </a:solidFill>
              <a:ln w="19038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3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4">
          <a:noFill/>
        </a:ln>
      </c:spPr>
    </c:plotArea>
    <c:legend>
      <c:legendPos val="b"/>
      <c:overlay val="0"/>
      <c:spPr>
        <a:noFill/>
        <a:ln w="2538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65E-2"/>
          <c:y val="5.9544196319722331E-3"/>
        </c:manualLayout>
      </c:layout>
      <c:overlay val="0"/>
      <c:spPr>
        <a:noFill/>
        <a:ln w="2538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3698787651543573"/>
                  <c:y val="-9.9985219424363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8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9">
          <a:noFill/>
        </a:ln>
      </c:spPr>
    </c:plotArea>
    <c:plotVisOnly val="1"/>
    <c:dispBlanksAs val="zero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71834595271"/>
          <c:y val="5.9544261512765456E-3"/>
        </c:manualLayout>
      </c:layout>
      <c:overlay val="0"/>
      <c:spPr>
        <a:noFill/>
        <a:ln w="25387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636235125781742E-2"/>
          <c:y val="0.24478379983523976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31"/>
                  <c:y val="-1.561775580972109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743303419662139E-2"/>
                  <c:y val="-5.10696017012472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1603099796866105E-3"/>
                  <c:y val="-9.7361917351571927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8.6816161174769299E-2"/>
                  <c:y val="6.2770274153687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5850484610642241E-3"/>
                  <c:y val="-1.543383719370846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5909048891929726E-3"/>
                  <c:y val="9.047646416460636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7">
          <a:noFill/>
        </a:ln>
      </c:spPr>
    </c:plotArea>
    <c:plotVisOnly val="1"/>
    <c:dispBlanksAs val="zero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201984"/>
        <c:axId val="8222835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8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201984"/>
        <c:axId val="82228352"/>
      </c:lineChart>
      <c:catAx>
        <c:axId val="8220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28352"/>
        <c:crosses val="autoZero"/>
        <c:auto val="1"/>
        <c:lblAlgn val="ctr"/>
        <c:lblOffset val="100"/>
        <c:noMultiLvlLbl val="0"/>
      </c:catAx>
      <c:valAx>
        <c:axId val="82228352"/>
        <c:scaling>
          <c:orientation val="minMax"/>
        </c:scaling>
        <c:delete val="0"/>
        <c:axPos val="l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01984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4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1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 w="25419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6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64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0439808"/>
        <c:axId val="110486656"/>
      </c:barChart>
      <c:catAx>
        <c:axId val="11043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86656"/>
        <c:crosses val="autoZero"/>
        <c:auto val="1"/>
        <c:lblAlgn val="ctr"/>
        <c:lblOffset val="100"/>
        <c:noMultiLvlLbl val="0"/>
      </c:catAx>
      <c:valAx>
        <c:axId val="110486656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39808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40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490496"/>
        <c:axId val="144492032"/>
      </c:barChart>
      <c:catAx>
        <c:axId val="1444904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492032"/>
        <c:crosses val="autoZero"/>
        <c:auto val="1"/>
        <c:lblAlgn val="ctr"/>
        <c:lblOffset val="100"/>
        <c:tickLblSkip val="1"/>
        <c:noMultiLvlLbl val="0"/>
      </c:catAx>
      <c:valAx>
        <c:axId val="144492032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490496"/>
        <c:crosses val="autoZero"/>
        <c:crossBetween val="between"/>
      </c:valAx>
      <c:spPr>
        <a:noFill/>
        <a:ln w="25409">
          <a:noFill/>
        </a:ln>
      </c:spPr>
    </c:plotArea>
    <c:legend>
      <c:legendPos val="b"/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33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339">
              <a:noFill/>
            </a:ln>
          </c:spPr>
          <c:invertIfNegative val="0"/>
          <c:dLbls>
            <c:spPr>
              <a:noFill/>
              <a:ln w="2533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339">
              <a:noFill/>
            </a:ln>
          </c:spPr>
          <c:invertIfNegative val="0"/>
          <c:dLbls>
            <c:spPr>
              <a:noFill/>
              <a:ln w="2533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39">
              <a:noFill/>
            </a:ln>
          </c:spPr>
          <c:invertIfNegative val="0"/>
          <c:dLbls>
            <c:spPr>
              <a:noFill/>
              <a:ln w="2533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02744448"/>
        <c:axId val="102745984"/>
      </c:barChart>
      <c:catAx>
        <c:axId val="10274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45984"/>
        <c:crosses val="autoZero"/>
        <c:auto val="1"/>
        <c:lblAlgn val="ctr"/>
        <c:lblOffset val="100"/>
        <c:noMultiLvlLbl val="0"/>
      </c:catAx>
      <c:valAx>
        <c:axId val="102745984"/>
        <c:scaling>
          <c:orientation val="minMax"/>
        </c:scaling>
        <c:delete val="0"/>
        <c:axPos val="l"/>
        <c:majorGridlines>
          <c:spPr>
            <a:ln w="950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0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44448"/>
        <c:crosses val="autoZero"/>
        <c:crossBetween val="between"/>
      </c:valAx>
      <c:spPr>
        <a:noFill/>
        <a:ln w="25339">
          <a:noFill/>
        </a:ln>
      </c:spPr>
    </c:plotArea>
    <c:legend>
      <c:legendPos val="b"/>
      <c:overlay val="0"/>
      <c:spPr>
        <a:noFill/>
        <a:ln w="25339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4701250586"/>
          <c:y val="4.5429758173432212E-3"/>
        </c:manualLayout>
      </c:layout>
      <c:overlay val="0"/>
      <c:spPr>
        <a:noFill/>
        <a:ln w="25410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825773844385169E-2"/>
                  <c:y val="3.4373502225265383E-2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392230103468469"/>
                  <c:y val="-0.157435809654228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90254007505257E-2"/>
                  <c:y val="-0.1673325556527656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5922170885664091"/>
                  <c:y val="-1.00174978127733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1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 w="25392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92">
              <a:noFill/>
            </a:ln>
          </c:spPr>
          <c:invertIfNegative val="0"/>
          <c:dLbls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92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4259456"/>
        <c:axId val="94269440"/>
      </c:barChart>
      <c:catAx>
        <c:axId val="94259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269440"/>
        <c:crosses val="autoZero"/>
        <c:auto val="1"/>
        <c:lblAlgn val="ctr"/>
        <c:lblOffset val="100"/>
        <c:noMultiLvlLbl val="0"/>
      </c:catAx>
      <c:valAx>
        <c:axId val="94269440"/>
        <c:scaling>
          <c:orientation val="minMax"/>
        </c:scaling>
        <c:delete val="0"/>
        <c:axPos val="b"/>
        <c:majorGridlines>
          <c:spPr>
            <a:ln w="952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259456"/>
        <c:crosses val="autoZero"/>
        <c:crossBetween val="between"/>
      </c:valAx>
      <c:spPr>
        <a:noFill/>
        <a:ln w="25392">
          <a:noFill/>
        </a:ln>
      </c:spPr>
    </c:plotArea>
    <c:legend>
      <c:legendPos val="b"/>
      <c:overlay val="0"/>
      <c:spPr>
        <a:noFill/>
        <a:ln w="2539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40</cp:revision>
  <cp:lastPrinted>2021-04-07T04:41:00Z</cp:lastPrinted>
  <dcterms:created xsi:type="dcterms:W3CDTF">2019-06-18T11:00:00Z</dcterms:created>
  <dcterms:modified xsi:type="dcterms:W3CDTF">2021-12-07T03:59:00Z</dcterms:modified>
</cp:coreProperties>
</file>